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FFF24" w14:textId="77777777" w:rsidR="00345E5E" w:rsidRPr="00C21DA1" w:rsidRDefault="00345E5E" w:rsidP="00345E5E">
      <w:pPr>
        <w:pStyle w:val="Default"/>
        <w:jc w:val="center"/>
        <w:rPr>
          <w:rFonts w:asciiTheme="minorHAnsi" w:hAnsiTheme="minorHAnsi"/>
          <w:b/>
          <w:bCs/>
          <w:sz w:val="40"/>
          <w:szCs w:val="40"/>
          <w:lang w:val="en-US"/>
        </w:rPr>
      </w:pPr>
      <w:r w:rsidRPr="00C21DA1">
        <w:rPr>
          <w:rFonts w:asciiTheme="minorHAnsi" w:hAnsiTheme="minorHAnsi"/>
          <w:b/>
          <w:bCs/>
          <w:sz w:val="40"/>
          <w:szCs w:val="40"/>
          <w:lang w:val="en-US"/>
        </w:rPr>
        <w:t xml:space="preserve">ASEM Expert Group on Interregional Credit Transfer Mechanisms and Learning Outcome Systems </w:t>
      </w:r>
    </w:p>
    <w:p w14:paraId="0DFC0762" w14:textId="77777777" w:rsidR="00345E5E" w:rsidRPr="00C21DA1" w:rsidRDefault="00345E5E" w:rsidP="00345E5E">
      <w:pPr>
        <w:pStyle w:val="Default"/>
        <w:jc w:val="center"/>
        <w:rPr>
          <w:rFonts w:asciiTheme="minorHAnsi" w:hAnsiTheme="minorHAnsi"/>
          <w:sz w:val="40"/>
          <w:szCs w:val="40"/>
          <w:lang w:val="en-US"/>
        </w:rPr>
      </w:pPr>
    </w:p>
    <w:p w14:paraId="18B40575" w14:textId="15A0A9B5" w:rsidR="00345E5E" w:rsidRPr="00C21DA1" w:rsidRDefault="009B2636" w:rsidP="00345E5E">
      <w:pPr>
        <w:pStyle w:val="Default"/>
        <w:jc w:val="center"/>
        <w:rPr>
          <w:rFonts w:asciiTheme="minorHAnsi" w:hAnsiTheme="minorHAnsi" w:cs="Impact"/>
          <w:sz w:val="40"/>
          <w:szCs w:val="40"/>
          <w:lang w:val="en-US"/>
        </w:rPr>
      </w:pPr>
      <w:r>
        <w:rPr>
          <w:rFonts w:asciiTheme="minorHAnsi" w:hAnsiTheme="minorHAnsi" w:cs="Impact"/>
          <w:sz w:val="40"/>
          <w:szCs w:val="40"/>
          <w:lang w:val="en-US"/>
        </w:rPr>
        <w:t xml:space="preserve">Draft </w:t>
      </w:r>
      <w:r w:rsidR="00345E5E" w:rsidRPr="00C21DA1">
        <w:rPr>
          <w:rFonts w:asciiTheme="minorHAnsi" w:hAnsiTheme="minorHAnsi" w:cs="Impact"/>
          <w:sz w:val="40"/>
          <w:szCs w:val="40"/>
          <w:lang w:val="en-US"/>
        </w:rPr>
        <w:t xml:space="preserve">Terms of Reference </w:t>
      </w:r>
    </w:p>
    <w:p w14:paraId="4D421E96" w14:textId="77777777" w:rsidR="00345E5E" w:rsidRPr="00916952" w:rsidRDefault="00345E5E" w:rsidP="00345E5E">
      <w:pPr>
        <w:pStyle w:val="Default"/>
        <w:jc w:val="center"/>
        <w:rPr>
          <w:rFonts w:ascii="Impact" w:hAnsi="Impact" w:cs="Impact"/>
          <w:sz w:val="40"/>
          <w:szCs w:val="40"/>
          <w:lang w:val="en-US"/>
        </w:rPr>
      </w:pPr>
    </w:p>
    <w:tbl>
      <w:tblPr>
        <w:tblStyle w:val="Tabelraster"/>
        <w:tblW w:w="0" w:type="auto"/>
        <w:tblLook w:val="04A0" w:firstRow="1" w:lastRow="0" w:firstColumn="1" w:lastColumn="0" w:noHBand="0" w:noVBand="1"/>
      </w:tblPr>
      <w:tblGrid>
        <w:gridCol w:w="9062"/>
      </w:tblGrid>
      <w:tr w:rsidR="00345E5E" w:rsidRPr="00BA5211" w14:paraId="6883B889" w14:textId="77777777" w:rsidTr="00345E5E">
        <w:tc>
          <w:tcPr>
            <w:tcW w:w="9062" w:type="dxa"/>
          </w:tcPr>
          <w:p w14:paraId="7C9C4C76" w14:textId="77777777" w:rsidR="00345E5E" w:rsidRDefault="00345E5E" w:rsidP="00345E5E">
            <w:pPr>
              <w:autoSpaceDE w:val="0"/>
              <w:autoSpaceDN w:val="0"/>
              <w:adjustRightInd w:val="0"/>
              <w:rPr>
                <w:rFonts w:cs="Calibri-Bold"/>
                <w:b/>
                <w:bCs/>
                <w:sz w:val="24"/>
                <w:szCs w:val="24"/>
                <w:lang w:val="en-US"/>
              </w:rPr>
            </w:pPr>
            <w:r w:rsidRPr="00345E5E">
              <w:rPr>
                <w:rFonts w:cs="Calibri-Bold"/>
                <w:b/>
                <w:bCs/>
                <w:sz w:val="24"/>
                <w:szCs w:val="24"/>
                <w:lang w:val="en-US"/>
              </w:rPr>
              <w:t xml:space="preserve">Name of the </w:t>
            </w:r>
            <w:r w:rsidR="00ED1C00">
              <w:rPr>
                <w:rFonts w:cs="Calibri-Bold"/>
                <w:b/>
                <w:bCs/>
                <w:sz w:val="24"/>
                <w:szCs w:val="24"/>
                <w:lang w:val="en-US"/>
              </w:rPr>
              <w:t>Expert</w:t>
            </w:r>
            <w:r w:rsidRPr="00345E5E">
              <w:rPr>
                <w:rFonts w:cs="Calibri-Bold"/>
                <w:b/>
                <w:bCs/>
                <w:sz w:val="24"/>
                <w:szCs w:val="24"/>
                <w:lang w:val="en-US"/>
              </w:rPr>
              <w:t xml:space="preserve"> Group</w:t>
            </w:r>
          </w:p>
          <w:p w14:paraId="132E4142" w14:textId="77777777" w:rsidR="00157773" w:rsidRPr="00345E5E" w:rsidRDefault="00157773" w:rsidP="00345E5E">
            <w:pPr>
              <w:autoSpaceDE w:val="0"/>
              <w:autoSpaceDN w:val="0"/>
              <w:adjustRightInd w:val="0"/>
              <w:rPr>
                <w:rFonts w:cs="Calibri-Bold"/>
                <w:b/>
                <w:bCs/>
                <w:sz w:val="24"/>
                <w:szCs w:val="24"/>
                <w:lang w:val="en-US"/>
              </w:rPr>
            </w:pPr>
          </w:p>
          <w:p w14:paraId="708A3426" w14:textId="77777777" w:rsidR="00345E5E" w:rsidRPr="00345E5E" w:rsidRDefault="00345E5E" w:rsidP="00345E5E">
            <w:pPr>
              <w:pStyle w:val="Default"/>
              <w:rPr>
                <w:rFonts w:asciiTheme="minorHAnsi" w:hAnsiTheme="minorHAnsi"/>
                <w:bCs/>
                <w:lang w:val="en-US"/>
              </w:rPr>
            </w:pPr>
            <w:r w:rsidRPr="00345E5E">
              <w:rPr>
                <w:rFonts w:asciiTheme="minorHAnsi" w:hAnsiTheme="minorHAnsi"/>
                <w:bCs/>
                <w:lang w:val="en-US"/>
              </w:rPr>
              <w:t xml:space="preserve">ASEM Expert Group on Interregional Credit Transfer Mechanisms and Learning Outcome Systems </w:t>
            </w:r>
          </w:p>
          <w:p w14:paraId="00FF9855" w14:textId="77777777" w:rsidR="00345E5E" w:rsidRPr="00345E5E" w:rsidRDefault="00345E5E" w:rsidP="00345E5E">
            <w:pPr>
              <w:rPr>
                <w:sz w:val="24"/>
                <w:szCs w:val="24"/>
                <w:lang w:val="en-US"/>
              </w:rPr>
            </w:pPr>
          </w:p>
        </w:tc>
      </w:tr>
      <w:tr w:rsidR="00345E5E" w:rsidRPr="00BF1A64" w14:paraId="5952298E" w14:textId="77777777" w:rsidTr="00345E5E">
        <w:tc>
          <w:tcPr>
            <w:tcW w:w="9062" w:type="dxa"/>
          </w:tcPr>
          <w:p w14:paraId="204B60CD" w14:textId="77777777" w:rsidR="00345E5E" w:rsidRPr="009C5404" w:rsidRDefault="00345E5E" w:rsidP="00345E5E">
            <w:pPr>
              <w:rPr>
                <w:b/>
                <w:sz w:val="24"/>
                <w:szCs w:val="24"/>
                <w:lang w:val="en-US"/>
              </w:rPr>
            </w:pPr>
            <w:r w:rsidRPr="009C5404">
              <w:rPr>
                <w:b/>
                <w:sz w:val="24"/>
                <w:szCs w:val="24"/>
                <w:lang w:val="en-US"/>
              </w:rPr>
              <w:t>Chair</w:t>
            </w:r>
          </w:p>
          <w:p w14:paraId="06CD4F2D" w14:textId="77777777" w:rsidR="00157773" w:rsidRPr="009C5404" w:rsidRDefault="00157773" w:rsidP="00345E5E">
            <w:pPr>
              <w:rPr>
                <w:b/>
                <w:sz w:val="24"/>
                <w:szCs w:val="24"/>
                <w:lang w:val="en-US"/>
              </w:rPr>
            </w:pPr>
          </w:p>
          <w:p w14:paraId="0D631564" w14:textId="010D7954" w:rsidR="00ED1C00" w:rsidRPr="009C5404" w:rsidRDefault="00ED1C00" w:rsidP="00ED1C00">
            <w:pPr>
              <w:pStyle w:val="Default"/>
              <w:jc w:val="both"/>
              <w:rPr>
                <w:rFonts w:asciiTheme="minorHAnsi" w:eastAsia="MS Gothic" w:hAnsiTheme="minorHAnsi"/>
                <w:color w:val="auto"/>
                <w:lang w:val="en-US"/>
              </w:rPr>
            </w:pPr>
            <w:r w:rsidRPr="009C5404">
              <w:rPr>
                <w:rFonts w:asciiTheme="minorHAnsi" w:eastAsia="MS Gothic" w:hAnsiTheme="minorHAnsi"/>
                <w:color w:val="auto"/>
                <w:lang w:val="en-US"/>
              </w:rPr>
              <w:t xml:space="preserve">The Expert Group Meeting shall be chaired by </w:t>
            </w:r>
            <w:r w:rsidR="009C5404" w:rsidRPr="009C5404">
              <w:rPr>
                <w:rFonts w:asciiTheme="minorHAnsi" w:eastAsia="MS Gothic" w:hAnsiTheme="minorHAnsi"/>
                <w:color w:val="auto"/>
                <w:lang w:val="en-US"/>
              </w:rPr>
              <w:t>Belgium/Flemish Community</w:t>
            </w:r>
            <w:r w:rsidRPr="009C5404">
              <w:rPr>
                <w:rFonts w:asciiTheme="minorHAnsi" w:eastAsia="MS Gothic" w:hAnsiTheme="minorHAnsi"/>
                <w:color w:val="auto"/>
                <w:lang w:val="en-US"/>
              </w:rPr>
              <w:t xml:space="preserve"> and co-chaired by the rotating hosting country. The Co-chair shall assist the Chair, and serve as acting Chair when necessary. The AES shall facilitate the work of the expert group and support the chair.</w:t>
            </w:r>
          </w:p>
          <w:p w14:paraId="2D385EF7" w14:textId="77777777" w:rsidR="00ED1C00" w:rsidRPr="009C5404" w:rsidRDefault="00ED1C00" w:rsidP="00ED1C00">
            <w:pPr>
              <w:pStyle w:val="Default"/>
              <w:jc w:val="both"/>
              <w:rPr>
                <w:rFonts w:asciiTheme="minorHAnsi" w:eastAsia="MS Gothic" w:hAnsiTheme="minorHAnsi"/>
                <w:color w:val="auto"/>
                <w:lang w:val="en-US"/>
              </w:rPr>
            </w:pPr>
          </w:p>
          <w:p w14:paraId="66A00810" w14:textId="77777777" w:rsidR="00ED1C00" w:rsidRPr="00AF11F6" w:rsidRDefault="00ED1C00" w:rsidP="00ED1C00">
            <w:pPr>
              <w:pStyle w:val="Default"/>
              <w:jc w:val="both"/>
              <w:rPr>
                <w:rFonts w:asciiTheme="minorHAnsi" w:eastAsia="MS Gothic" w:hAnsiTheme="minorHAnsi"/>
                <w:color w:val="auto"/>
                <w:u w:val="single"/>
                <w:lang w:val="fr-FR"/>
              </w:rPr>
            </w:pPr>
            <w:r w:rsidRPr="00AF11F6">
              <w:rPr>
                <w:rFonts w:asciiTheme="minorHAnsi" w:eastAsia="MS Gothic" w:hAnsiTheme="minorHAnsi"/>
                <w:color w:val="auto"/>
                <w:u w:val="single"/>
                <w:lang w:val="fr-FR"/>
              </w:rPr>
              <w:t xml:space="preserve">Contact </w:t>
            </w:r>
            <w:proofErr w:type="spellStart"/>
            <w:r w:rsidRPr="00AF11F6">
              <w:rPr>
                <w:rFonts w:asciiTheme="minorHAnsi" w:eastAsia="MS Gothic" w:hAnsiTheme="minorHAnsi"/>
                <w:color w:val="auto"/>
                <w:u w:val="single"/>
                <w:lang w:val="fr-FR"/>
              </w:rPr>
              <w:t>person</w:t>
            </w:r>
            <w:proofErr w:type="spellEnd"/>
            <w:r w:rsidRPr="00AF11F6">
              <w:rPr>
                <w:rFonts w:asciiTheme="minorHAnsi" w:eastAsia="MS Gothic" w:hAnsiTheme="minorHAnsi"/>
                <w:color w:val="auto"/>
                <w:u w:val="single"/>
                <w:lang w:val="fr-FR"/>
              </w:rPr>
              <w:t>:</w:t>
            </w:r>
          </w:p>
          <w:p w14:paraId="246241F4" w14:textId="5D6B9553" w:rsidR="00345E5E" w:rsidRPr="00AF11F6" w:rsidRDefault="00345E5E" w:rsidP="00345E5E">
            <w:pPr>
              <w:autoSpaceDE w:val="0"/>
              <w:autoSpaceDN w:val="0"/>
              <w:adjustRightInd w:val="0"/>
              <w:rPr>
                <w:rFonts w:cs="Calibri"/>
                <w:sz w:val="24"/>
                <w:szCs w:val="24"/>
                <w:lang w:val="fr-FR"/>
              </w:rPr>
            </w:pPr>
            <w:r w:rsidRPr="00AF11F6">
              <w:rPr>
                <w:rFonts w:cs="Calibri"/>
                <w:sz w:val="24"/>
                <w:szCs w:val="24"/>
                <w:lang w:val="fr-FR"/>
              </w:rPr>
              <w:t xml:space="preserve">Magalie </w:t>
            </w:r>
            <w:r w:rsidR="009C5404" w:rsidRPr="00AF11F6">
              <w:rPr>
                <w:rFonts w:cs="Calibri"/>
                <w:sz w:val="24"/>
                <w:szCs w:val="24"/>
                <w:lang w:val="fr-FR"/>
              </w:rPr>
              <w:t>Soenen</w:t>
            </w:r>
            <w:r w:rsidRPr="00AF11F6">
              <w:rPr>
                <w:rFonts w:cs="Calibri"/>
                <w:sz w:val="24"/>
                <w:szCs w:val="24"/>
                <w:lang w:val="fr-FR"/>
              </w:rPr>
              <w:t xml:space="preserve"> – Belgium FL (</w:t>
            </w:r>
            <w:hyperlink r:id="rId5" w:history="1">
              <w:r w:rsidR="00BF1A64" w:rsidRPr="00FC7341">
                <w:rPr>
                  <w:rStyle w:val="Hyperlink"/>
                  <w:rFonts w:cs="Calibri"/>
                  <w:sz w:val="24"/>
                  <w:szCs w:val="24"/>
                  <w:lang w:val="fr-FR"/>
                </w:rPr>
                <w:t>Magalie.Soenen@ond.vlaanderen.be</w:t>
              </w:r>
            </w:hyperlink>
            <w:r w:rsidRPr="00AF11F6">
              <w:rPr>
                <w:rFonts w:cs="Calibri"/>
                <w:sz w:val="24"/>
                <w:szCs w:val="24"/>
                <w:lang w:val="fr-FR"/>
              </w:rPr>
              <w:t xml:space="preserve"> )</w:t>
            </w:r>
          </w:p>
          <w:p w14:paraId="6950299E" w14:textId="77777777" w:rsidR="00ED1C00" w:rsidRPr="00BF1A64" w:rsidRDefault="00ED1C00" w:rsidP="00ED1C00">
            <w:pPr>
              <w:pStyle w:val="Default"/>
              <w:jc w:val="both"/>
              <w:rPr>
                <w:rFonts w:asciiTheme="minorHAnsi" w:eastAsia="MS Gothic" w:hAnsiTheme="minorHAnsi"/>
                <w:color w:val="auto"/>
                <w:lang w:val="fr-FR"/>
              </w:rPr>
            </w:pPr>
          </w:p>
          <w:p w14:paraId="43597108" w14:textId="77777777" w:rsidR="00345E5E" w:rsidRPr="00BF1A64" w:rsidRDefault="00345E5E" w:rsidP="00ED1C00">
            <w:pPr>
              <w:pStyle w:val="Default"/>
              <w:jc w:val="both"/>
              <w:rPr>
                <w:rFonts w:asciiTheme="minorHAnsi" w:hAnsiTheme="minorHAnsi" w:cs="Calibri"/>
              </w:rPr>
            </w:pPr>
          </w:p>
        </w:tc>
      </w:tr>
      <w:tr w:rsidR="00345E5E" w:rsidRPr="00BA5211" w14:paraId="72AE1622" w14:textId="77777777" w:rsidTr="00345E5E">
        <w:tc>
          <w:tcPr>
            <w:tcW w:w="9062" w:type="dxa"/>
          </w:tcPr>
          <w:p w14:paraId="40110AC5" w14:textId="77777777" w:rsidR="00345E5E" w:rsidRDefault="00345E5E" w:rsidP="00345E5E">
            <w:pPr>
              <w:autoSpaceDE w:val="0"/>
              <w:autoSpaceDN w:val="0"/>
              <w:adjustRightInd w:val="0"/>
              <w:rPr>
                <w:rFonts w:cs="Calibri-Bold"/>
                <w:b/>
                <w:bCs/>
                <w:sz w:val="24"/>
                <w:szCs w:val="24"/>
                <w:lang w:val="en-US"/>
              </w:rPr>
            </w:pPr>
            <w:r w:rsidRPr="00345E5E">
              <w:rPr>
                <w:rFonts w:cs="Calibri-Bold"/>
                <w:b/>
                <w:bCs/>
                <w:sz w:val="24"/>
                <w:szCs w:val="24"/>
                <w:lang w:val="en-US"/>
              </w:rPr>
              <w:t xml:space="preserve">Composition of the </w:t>
            </w:r>
            <w:r w:rsidR="00ED1C00">
              <w:rPr>
                <w:rFonts w:cs="Calibri-Bold"/>
                <w:b/>
                <w:bCs/>
                <w:sz w:val="24"/>
                <w:szCs w:val="24"/>
                <w:lang w:val="en-US"/>
              </w:rPr>
              <w:t>Expert Group</w:t>
            </w:r>
          </w:p>
          <w:p w14:paraId="68D70DC4" w14:textId="77777777" w:rsidR="00157773" w:rsidRPr="00345E5E" w:rsidRDefault="00157773" w:rsidP="00345E5E">
            <w:pPr>
              <w:autoSpaceDE w:val="0"/>
              <w:autoSpaceDN w:val="0"/>
              <w:adjustRightInd w:val="0"/>
              <w:rPr>
                <w:rFonts w:cs="Calibri-Bold"/>
                <w:b/>
                <w:bCs/>
                <w:sz w:val="24"/>
                <w:szCs w:val="24"/>
                <w:lang w:val="en-US"/>
              </w:rPr>
            </w:pPr>
          </w:p>
          <w:p w14:paraId="1D380F1E" w14:textId="77777777" w:rsidR="0000177F" w:rsidRDefault="0000177F" w:rsidP="0000177F">
            <w:pPr>
              <w:autoSpaceDE w:val="0"/>
              <w:autoSpaceDN w:val="0"/>
              <w:adjustRightInd w:val="0"/>
              <w:rPr>
                <w:sz w:val="24"/>
                <w:szCs w:val="24"/>
                <w:lang w:val="en-US"/>
              </w:rPr>
            </w:pPr>
            <w:r w:rsidRPr="0000177F">
              <w:rPr>
                <w:sz w:val="24"/>
                <w:szCs w:val="24"/>
                <w:u w:val="single"/>
                <w:lang w:val="en-US"/>
              </w:rPr>
              <w:t>Members</w:t>
            </w:r>
            <w:r>
              <w:rPr>
                <w:sz w:val="24"/>
                <w:szCs w:val="24"/>
                <w:lang w:val="en-US"/>
              </w:rPr>
              <w:t xml:space="preserve">: </w:t>
            </w:r>
          </w:p>
          <w:p w14:paraId="0AA8AF7E" w14:textId="77777777" w:rsidR="0000177F" w:rsidRPr="0000177F" w:rsidRDefault="0000177F" w:rsidP="0000177F">
            <w:pPr>
              <w:autoSpaceDE w:val="0"/>
              <w:autoSpaceDN w:val="0"/>
              <w:adjustRightInd w:val="0"/>
              <w:rPr>
                <w:sz w:val="24"/>
                <w:szCs w:val="24"/>
                <w:lang w:val="en-US"/>
              </w:rPr>
            </w:pPr>
            <w:r w:rsidRPr="0000177F">
              <w:rPr>
                <w:sz w:val="24"/>
                <w:szCs w:val="24"/>
                <w:lang w:val="en-US"/>
              </w:rPr>
              <w:t>Australia, Belgium (French Community and Flemish Community), Brunei Darussalam,</w:t>
            </w:r>
          </w:p>
          <w:p w14:paraId="04613418" w14:textId="77777777" w:rsidR="0000177F" w:rsidRPr="0000177F" w:rsidRDefault="0000177F" w:rsidP="0000177F">
            <w:pPr>
              <w:autoSpaceDE w:val="0"/>
              <w:autoSpaceDN w:val="0"/>
              <w:adjustRightInd w:val="0"/>
              <w:rPr>
                <w:sz w:val="24"/>
                <w:szCs w:val="24"/>
                <w:lang w:val="en-US"/>
              </w:rPr>
            </w:pPr>
            <w:r w:rsidRPr="0000177F">
              <w:rPr>
                <w:sz w:val="24"/>
                <w:szCs w:val="24"/>
                <w:lang w:val="en-US"/>
              </w:rPr>
              <w:t>China, Estonia, France, Germany, Indonesia, Latvia, Lithuania, Malaysia, Portugal,</w:t>
            </w:r>
          </w:p>
          <w:p w14:paraId="20181C7E" w14:textId="77777777" w:rsidR="0000177F" w:rsidRPr="0000177F" w:rsidRDefault="0000177F" w:rsidP="0000177F">
            <w:pPr>
              <w:autoSpaceDE w:val="0"/>
              <w:autoSpaceDN w:val="0"/>
              <w:adjustRightInd w:val="0"/>
              <w:rPr>
                <w:sz w:val="24"/>
                <w:szCs w:val="24"/>
                <w:lang w:val="en-US"/>
              </w:rPr>
            </w:pPr>
            <w:r w:rsidRPr="0000177F">
              <w:rPr>
                <w:sz w:val="24"/>
                <w:szCs w:val="24"/>
                <w:lang w:val="en-US"/>
              </w:rPr>
              <w:t>Romania, Thailand and United Kingdom, as well as ASEM stakeholders that include</w:t>
            </w:r>
          </w:p>
          <w:p w14:paraId="5809C1D9" w14:textId="77777777" w:rsidR="0000177F" w:rsidRPr="0000177F" w:rsidRDefault="0000177F" w:rsidP="0000177F">
            <w:pPr>
              <w:autoSpaceDE w:val="0"/>
              <w:autoSpaceDN w:val="0"/>
              <w:adjustRightInd w:val="0"/>
              <w:rPr>
                <w:sz w:val="24"/>
                <w:szCs w:val="24"/>
                <w:lang w:val="en-US"/>
              </w:rPr>
            </w:pPr>
            <w:r w:rsidRPr="0000177F">
              <w:rPr>
                <w:sz w:val="24"/>
                <w:szCs w:val="24"/>
                <w:lang w:val="en-US"/>
              </w:rPr>
              <w:t>the ASEAN University Network and the Southeast Asian Ministers of Education</w:t>
            </w:r>
          </w:p>
          <w:p w14:paraId="095E84E4" w14:textId="77777777" w:rsidR="0000177F" w:rsidRPr="0000177F" w:rsidRDefault="0000177F" w:rsidP="0000177F">
            <w:pPr>
              <w:autoSpaceDE w:val="0"/>
              <w:autoSpaceDN w:val="0"/>
              <w:adjustRightInd w:val="0"/>
              <w:rPr>
                <w:sz w:val="24"/>
                <w:szCs w:val="24"/>
                <w:lang w:val="en-US"/>
              </w:rPr>
            </w:pPr>
            <w:r w:rsidRPr="0000177F">
              <w:rPr>
                <w:sz w:val="24"/>
                <w:szCs w:val="24"/>
                <w:lang w:val="en-US"/>
              </w:rPr>
              <w:t>Organization Regional Centre for Higher Education and Development (SEAMEO</w:t>
            </w:r>
          </w:p>
          <w:p w14:paraId="0A1CD741" w14:textId="6B539EDC" w:rsidR="00345E5E" w:rsidRDefault="0000177F" w:rsidP="0000177F">
            <w:pPr>
              <w:autoSpaceDE w:val="0"/>
              <w:autoSpaceDN w:val="0"/>
              <w:adjustRightInd w:val="0"/>
              <w:rPr>
                <w:sz w:val="24"/>
                <w:szCs w:val="24"/>
                <w:lang w:val="en-US"/>
              </w:rPr>
            </w:pPr>
            <w:r w:rsidRPr="0000177F">
              <w:rPr>
                <w:sz w:val="24"/>
                <w:szCs w:val="24"/>
                <w:lang w:val="en-US"/>
              </w:rPr>
              <w:t>RIHED)</w:t>
            </w:r>
          </w:p>
          <w:p w14:paraId="02024BC5" w14:textId="77777777" w:rsidR="005659CE" w:rsidRDefault="005659CE" w:rsidP="0000177F">
            <w:pPr>
              <w:autoSpaceDE w:val="0"/>
              <w:autoSpaceDN w:val="0"/>
              <w:adjustRightInd w:val="0"/>
              <w:rPr>
                <w:sz w:val="24"/>
                <w:szCs w:val="24"/>
                <w:lang w:val="en-US"/>
              </w:rPr>
            </w:pPr>
          </w:p>
          <w:p w14:paraId="0F7A837A" w14:textId="77777777" w:rsidR="0000177F" w:rsidRDefault="0000177F" w:rsidP="0000177F">
            <w:pPr>
              <w:autoSpaceDE w:val="0"/>
              <w:autoSpaceDN w:val="0"/>
              <w:adjustRightInd w:val="0"/>
              <w:rPr>
                <w:sz w:val="24"/>
                <w:szCs w:val="24"/>
                <w:lang w:val="en-US"/>
              </w:rPr>
            </w:pPr>
            <w:r w:rsidRPr="0000177F">
              <w:rPr>
                <w:sz w:val="24"/>
                <w:szCs w:val="24"/>
                <w:u w:val="single"/>
                <w:lang w:val="en-US"/>
              </w:rPr>
              <w:t>Membership</w:t>
            </w:r>
            <w:r>
              <w:rPr>
                <w:sz w:val="24"/>
                <w:szCs w:val="24"/>
                <w:lang w:val="en-US"/>
              </w:rPr>
              <w:t xml:space="preserve">: </w:t>
            </w:r>
          </w:p>
          <w:p w14:paraId="6A128EE6" w14:textId="117A90F1" w:rsidR="0000177F" w:rsidRPr="0000177F" w:rsidRDefault="0000177F" w:rsidP="0000177F">
            <w:pPr>
              <w:pStyle w:val="Lijstalinea"/>
              <w:numPr>
                <w:ilvl w:val="0"/>
                <w:numId w:val="1"/>
              </w:numPr>
              <w:autoSpaceDE w:val="0"/>
              <w:autoSpaceDN w:val="0"/>
              <w:adjustRightInd w:val="0"/>
              <w:ind w:left="318" w:hanging="284"/>
              <w:rPr>
                <w:sz w:val="24"/>
                <w:szCs w:val="24"/>
                <w:lang w:val="en-US"/>
              </w:rPr>
            </w:pPr>
            <w:r w:rsidRPr="0000177F">
              <w:rPr>
                <w:sz w:val="24"/>
                <w:szCs w:val="24"/>
                <w:lang w:val="en-US"/>
              </w:rPr>
              <w:t xml:space="preserve">The Expert Group shall be </w:t>
            </w:r>
            <w:r w:rsidRPr="00A50647">
              <w:rPr>
                <w:sz w:val="24"/>
                <w:szCs w:val="24"/>
                <w:lang w:val="en-US"/>
              </w:rPr>
              <w:t>open</w:t>
            </w:r>
            <w:r w:rsidR="00320ED2" w:rsidRPr="00A50647">
              <w:rPr>
                <w:sz w:val="24"/>
                <w:szCs w:val="24"/>
                <w:lang w:val="en-US"/>
              </w:rPr>
              <w:t xml:space="preserve"> to all </w:t>
            </w:r>
            <w:r w:rsidR="00A50647" w:rsidRPr="00A50647">
              <w:rPr>
                <w:sz w:val="24"/>
                <w:szCs w:val="24"/>
                <w:lang w:val="en-US"/>
              </w:rPr>
              <w:t>ASEM partners</w:t>
            </w:r>
            <w:r w:rsidR="00320ED2" w:rsidRPr="00A50647">
              <w:rPr>
                <w:sz w:val="24"/>
                <w:szCs w:val="24"/>
                <w:lang w:val="en-US"/>
              </w:rPr>
              <w:t xml:space="preserve"> and stakeholders</w:t>
            </w:r>
            <w:r w:rsidRPr="00A50647">
              <w:rPr>
                <w:sz w:val="24"/>
                <w:szCs w:val="24"/>
                <w:lang w:val="en-US"/>
              </w:rPr>
              <w:t xml:space="preserve"> to</w:t>
            </w:r>
            <w:r w:rsidRPr="0000177F">
              <w:rPr>
                <w:sz w:val="24"/>
                <w:szCs w:val="24"/>
                <w:lang w:val="en-US"/>
              </w:rPr>
              <w:t xml:space="preserve"> ensure wider participation; </w:t>
            </w:r>
          </w:p>
          <w:p w14:paraId="6500F481" w14:textId="6A258F86" w:rsidR="0000177F" w:rsidRPr="0000177F" w:rsidRDefault="0000177F" w:rsidP="0000177F">
            <w:pPr>
              <w:pStyle w:val="Lijstalinea"/>
              <w:numPr>
                <w:ilvl w:val="0"/>
                <w:numId w:val="1"/>
              </w:numPr>
              <w:autoSpaceDE w:val="0"/>
              <w:autoSpaceDN w:val="0"/>
              <w:adjustRightInd w:val="0"/>
              <w:ind w:left="318" w:hanging="284"/>
              <w:rPr>
                <w:sz w:val="24"/>
                <w:szCs w:val="24"/>
                <w:lang w:val="en-US"/>
              </w:rPr>
            </w:pPr>
            <w:r w:rsidRPr="0000177F">
              <w:rPr>
                <w:sz w:val="24"/>
                <w:szCs w:val="24"/>
                <w:lang w:val="en-US"/>
              </w:rPr>
              <w:t xml:space="preserve">To ensure the continuity and stability of the Expert Group, one regular expert shall be officially designated by </w:t>
            </w:r>
            <w:r w:rsidR="00013A88">
              <w:rPr>
                <w:sz w:val="24"/>
                <w:szCs w:val="24"/>
                <w:lang w:val="en-US"/>
              </w:rPr>
              <w:t>the respective ministry</w:t>
            </w:r>
            <w:r w:rsidRPr="0000177F">
              <w:rPr>
                <w:sz w:val="24"/>
                <w:szCs w:val="24"/>
                <w:lang w:val="en-US"/>
              </w:rPr>
              <w:t xml:space="preserve"> of </w:t>
            </w:r>
            <w:r w:rsidRPr="00A50647">
              <w:rPr>
                <w:sz w:val="24"/>
                <w:szCs w:val="24"/>
                <w:lang w:val="en-US"/>
              </w:rPr>
              <w:t xml:space="preserve">each </w:t>
            </w:r>
            <w:r w:rsidR="00A50647" w:rsidRPr="00A50647">
              <w:rPr>
                <w:sz w:val="24"/>
                <w:szCs w:val="24"/>
                <w:lang w:val="en-US"/>
              </w:rPr>
              <w:t>ASEM partner</w:t>
            </w:r>
            <w:r w:rsidR="00A50647">
              <w:rPr>
                <w:sz w:val="24"/>
                <w:szCs w:val="24"/>
                <w:lang w:val="en-US"/>
              </w:rPr>
              <w:t xml:space="preserve"> country</w:t>
            </w:r>
            <w:r w:rsidRPr="00A50647">
              <w:rPr>
                <w:sz w:val="24"/>
                <w:szCs w:val="24"/>
                <w:lang w:val="en-US"/>
              </w:rPr>
              <w:t xml:space="preserve"> </w:t>
            </w:r>
            <w:r w:rsidR="00320ED2" w:rsidRPr="00A50647">
              <w:rPr>
                <w:sz w:val="24"/>
                <w:szCs w:val="24"/>
                <w:lang w:val="en-US"/>
              </w:rPr>
              <w:t>or</w:t>
            </w:r>
            <w:r w:rsidR="00320ED2">
              <w:rPr>
                <w:sz w:val="24"/>
                <w:szCs w:val="24"/>
                <w:lang w:val="en-US"/>
              </w:rPr>
              <w:t xml:space="preserve"> respective stakeholder</w:t>
            </w:r>
            <w:r w:rsidRPr="0000177F">
              <w:rPr>
                <w:sz w:val="24"/>
                <w:szCs w:val="24"/>
                <w:lang w:val="en-US"/>
              </w:rPr>
              <w:t xml:space="preserve">, who has expressed interests; </w:t>
            </w:r>
          </w:p>
          <w:p w14:paraId="70B0E8BB" w14:textId="37AAE4B5" w:rsidR="0000177F" w:rsidRPr="0000177F" w:rsidRDefault="0000177F" w:rsidP="0000177F">
            <w:pPr>
              <w:pStyle w:val="Lijstalinea"/>
              <w:numPr>
                <w:ilvl w:val="0"/>
                <w:numId w:val="1"/>
              </w:numPr>
              <w:autoSpaceDE w:val="0"/>
              <w:autoSpaceDN w:val="0"/>
              <w:adjustRightInd w:val="0"/>
              <w:ind w:left="318" w:hanging="284"/>
              <w:rPr>
                <w:sz w:val="24"/>
                <w:szCs w:val="24"/>
                <w:lang w:val="en-US"/>
              </w:rPr>
            </w:pPr>
            <w:r w:rsidRPr="0000177F">
              <w:rPr>
                <w:sz w:val="24"/>
                <w:szCs w:val="24"/>
                <w:lang w:val="en-US"/>
              </w:rPr>
              <w:t xml:space="preserve">The designated ASEM </w:t>
            </w:r>
            <w:r w:rsidR="00A50647">
              <w:rPr>
                <w:sz w:val="24"/>
                <w:szCs w:val="24"/>
                <w:lang w:val="en-US"/>
              </w:rPr>
              <w:t>partners</w:t>
            </w:r>
            <w:r w:rsidRPr="0000177F">
              <w:rPr>
                <w:sz w:val="24"/>
                <w:szCs w:val="24"/>
                <w:lang w:val="en-US"/>
              </w:rPr>
              <w:t xml:space="preserve"> </w:t>
            </w:r>
            <w:r w:rsidR="00784AD0">
              <w:rPr>
                <w:sz w:val="24"/>
                <w:szCs w:val="24"/>
                <w:lang w:val="en-US"/>
              </w:rPr>
              <w:t xml:space="preserve">and stakeholders </w:t>
            </w:r>
            <w:r w:rsidRPr="0000177F">
              <w:rPr>
                <w:sz w:val="24"/>
                <w:szCs w:val="24"/>
                <w:lang w:val="en-US"/>
              </w:rPr>
              <w:t>shall ensure the nominated experts to attend the Expert Group Meetings and to undertak</w:t>
            </w:r>
            <w:r w:rsidR="00320ED2">
              <w:rPr>
                <w:sz w:val="24"/>
                <w:szCs w:val="24"/>
                <w:lang w:val="en-US"/>
              </w:rPr>
              <w:t>e tasks set by the Expert Group;</w:t>
            </w:r>
          </w:p>
          <w:p w14:paraId="39627C0F" w14:textId="45832433" w:rsidR="0000177F" w:rsidRPr="0000177F" w:rsidRDefault="0000177F" w:rsidP="0000177F">
            <w:pPr>
              <w:pStyle w:val="Lijstalinea"/>
              <w:numPr>
                <w:ilvl w:val="0"/>
                <w:numId w:val="1"/>
              </w:numPr>
              <w:autoSpaceDE w:val="0"/>
              <w:autoSpaceDN w:val="0"/>
              <w:adjustRightInd w:val="0"/>
              <w:ind w:left="318" w:hanging="284"/>
              <w:rPr>
                <w:sz w:val="24"/>
                <w:szCs w:val="24"/>
                <w:lang w:val="en-US"/>
              </w:rPr>
            </w:pPr>
            <w:r w:rsidRPr="0000177F">
              <w:rPr>
                <w:sz w:val="24"/>
                <w:szCs w:val="24"/>
                <w:lang w:val="en-US"/>
              </w:rPr>
              <w:t xml:space="preserve">The ASEM Education Secretariat </w:t>
            </w:r>
            <w:r w:rsidR="00320ED2">
              <w:rPr>
                <w:sz w:val="24"/>
                <w:szCs w:val="24"/>
                <w:lang w:val="en-US"/>
              </w:rPr>
              <w:t>support</w:t>
            </w:r>
            <w:r w:rsidR="00784AD0">
              <w:rPr>
                <w:sz w:val="24"/>
                <w:szCs w:val="24"/>
                <w:lang w:val="en-US"/>
              </w:rPr>
              <w:t>s</w:t>
            </w:r>
            <w:r w:rsidR="00320ED2">
              <w:rPr>
                <w:sz w:val="24"/>
                <w:szCs w:val="24"/>
                <w:lang w:val="en-US"/>
              </w:rPr>
              <w:t xml:space="preserve"> the Expert Group</w:t>
            </w:r>
            <w:r w:rsidR="00E65764">
              <w:rPr>
                <w:sz w:val="24"/>
                <w:szCs w:val="24"/>
                <w:lang w:val="en-US"/>
              </w:rPr>
              <w:t>.</w:t>
            </w:r>
            <w:r w:rsidRPr="0000177F">
              <w:rPr>
                <w:sz w:val="24"/>
                <w:szCs w:val="24"/>
                <w:lang w:val="en-US"/>
              </w:rPr>
              <w:t xml:space="preserve"> </w:t>
            </w:r>
          </w:p>
          <w:p w14:paraId="79B07C87" w14:textId="77777777" w:rsidR="0000177F" w:rsidRDefault="0000177F" w:rsidP="00E65764">
            <w:pPr>
              <w:autoSpaceDE w:val="0"/>
              <w:autoSpaceDN w:val="0"/>
              <w:adjustRightInd w:val="0"/>
              <w:ind w:left="34"/>
              <w:rPr>
                <w:rFonts w:cs="Calibri-Bold"/>
                <w:b/>
                <w:bCs/>
                <w:sz w:val="24"/>
                <w:szCs w:val="24"/>
                <w:lang w:val="en-US"/>
              </w:rPr>
            </w:pPr>
          </w:p>
          <w:p w14:paraId="1CEC5190" w14:textId="75C37342" w:rsidR="00BF1A64" w:rsidRPr="00AF11F6" w:rsidRDefault="00BF1A64" w:rsidP="00BF1A64">
            <w:pPr>
              <w:pStyle w:val="Default"/>
              <w:jc w:val="both"/>
              <w:rPr>
                <w:rFonts w:asciiTheme="minorHAnsi" w:eastAsia="MS Gothic" w:hAnsiTheme="minorHAnsi"/>
                <w:color w:val="auto"/>
                <w:u w:val="single"/>
                <w:lang w:val="fr-FR"/>
              </w:rPr>
            </w:pPr>
            <w:r w:rsidRPr="00AF11F6">
              <w:rPr>
                <w:rFonts w:asciiTheme="minorHAnsi" w:eastAsia="MS Gothic" w:hAnsiTheme="minorHAnsi"/>
                <w:color w:val="auto"/>
                <w:u w:val="single"/>
                <w:lang w:val="fr-FR"/>
              </w:rPr>
              <w:t xml:space="preserve">Contact </w:t>
            </w:r>
            <w:proofErr w:type="spellStart"/>
            <w:r w:rsidRPr="00AF11F6">
              <w:rPr>
                <w:rFonts w:asciiTheme="minorHAnsi" w:eastAsia="MS Gothic" w:hAnsiTheme="minorHAnsi"/>
                <w:color w:val="auto"/>
                <w:u w:val="single"/>
                <w:lang w:val="fr-FR"/>
              </w:rPr>
              <w:t>person</w:t>
            </w:r>
            <w:r>
              <w:rPr>
                <w:rFonts w:asciiTheme="minorHAnsi" w:eastAsia="MS Gothic" w:hAnsiTheme="minorHAnsi"/>
                <w:color w:val="auto"/>
                <w:u w:val="single"/>
                <w:lang w:val="fr-FR"/>
              </w:rPr>
              <w:t>s</w:t>
            </w:r>
            <w:proofErr w:type="spellEnd"/>
            <w:r w:rsidRPr="00AF11F6">
              <w:rPr>
                <w:rFonts w:asciiTheme="minorHAnsi" w:eastAsia="MS Gothic" w:hAnsiTheme="minorHAnsi"/>
                <w:color w:val="auto"/>
                <w:u w:val="single"/>
                <w:lang w:val="fr-FR"/>
              </w:rPr>
              <w:t>:</w:t>
            </w:r>
          </w:p>
          <w:p w14:paraId="3101C99F" w14:textId="14E6DB13" w:rsidR="00BF1A64" w:rsidRPr="00AF11F6" w:rsidRDefault="00BF1A64" w:rsidP="00BF1A64">
            <w:pPr>
              <w:autoSpaceDE w:val="0"/>
              <w:autoSpaceDN w:val="0"/>
              <w:adjustRightInd w:val="0"/>
              <w:rPr>
                <w:rFonts w:cs="Calibri"/>
                <w:sz w:val="24"/>
                <w:szCs w:val="24"/>
                <w:lang w:val="fr-FR"/>
              </w:rPr>
            </w:pPr>
            <w:r w:rsidRPr="00AF11F6">
              <w:rPr>
                <w:rFonts w:cs="Calibri"/>
                <w:sz w:val="24"/>
                <w:szCs w:val="24"/>
                <w:lang w:val="fr-FR"/>
              </w:rPr>
              <w:t>Magalie Soenen – Belgium FL (</w:t>
            </w:r>
            <w:hyperlink r:id="rId6" w:history="1">
              <w:r w:rsidRPr="00FC7341">
                <w:rPr>
                  <w:rStyle w:val="Hyperlink"/>
                  <w:rFonts w:cs="Calibri"/>
                  <w:sz w:val="24"/>
                  <w:szCs w:val="24"/>
                  <w:lang w:val="fr-FR"/>
                </w:rPr>
                <w:t>Magalie.Soenen@ond.vlaanderen.be</w:t>
              </w:r>
            </w:hyperlink>
            <w:r w:rsidRPr="00AF11F6">
              <w:rPr>
                <w:rFonts w:cs="Calibri"/>
                <w:sz w:val="24"/>
                <w:szCs w:val="24"/>
                <w:lang w:val="fr-FR"/>
              </w:rPr>
              <w:t xml:space="preserve"> )</w:t>
            </w:r>
          </w:p>
          <w:p w14:paraId="2CA0971B" w14:textId="77777777" w:rsidR="00BF1A64" w:rsidRPr="00AF11F6" w:rsidRDefault="00BF1A64" w:rsidP="00BF1A64">
            <w:pPr>
              <w:autoSpaceDE w:val="0"/>
              <w:autoSpaceDN w:val="0"/>
              <w:adjustRightInd w:val="0"/>
              <w:rPr>
                <w:rFonts w:cs="Calibri"/>
                <w:sz w:val="24"/>
                <w:szCs w:val="24"/>
                <w:lang w:val="fr-FR"/>
              </w:rPr>
            </w:pPr>
            <w:r w:rsidRPr="00AF11F6">
              <w:rPr>
                <w:rFonts w:cs="Calibri"/>
                <w:sz w:val="24"/>
                <w:szCs w:val="24"/>
                <w:lang w:val="fr-FR"/>
              </w:rPr>
              <w:t>Chantavit Sujatanond - SEAMEO-RIHED (</w:t>
            </w:r>
            <w:hyperlink r:id="rId7" w:history="1">
              <w:r w:rsidRPr="00AF11F6">
                <w:rPr>
                  <w:rStyle w:val="Hyperlink"/>
                  <w:rFonts w:cs="Calibri"/>
                  <w:sz w:val="24"/>
                  <w:szCs w:val="24"/>
                  <w:lang w:val="fr-FR"/>
                </w:rPr>
                <w:t>chantavit@rihed.seameo.org</w:t>
              </w:r>
            </w:hyperlink>
            <w:r w:rsidRPr="00AF11F6">
              <w:rPr>
                <w:rFonts w:cs="Calibri"/>
                <w:sz w:val="24"/>
                <w:szCs w:val="24"/>
                <w:lang w:val="fr-FR"/>
              </w:rPr>
              <w:t xml:space="preserve"> )</w:t>
            </w:r>
          </w:p>
          <w:p w14:paraId="27D19F15" w14:textId="77777777" w:rsidR="00BF1A64" w:rsidRPr="009C5404" w:rsidRDefault="00BF1A64" w:rsidP="00BF1A64">
            <w:pPr>
              <w:autoSpaceDE w:val="0"/>
              <w:autoSpaceDN w:val="0"/>
              <w:adjustRightInd w:val="0"/>
              <w:rPr>
                <w:rFonts w:cs="Calibri"/>
                <w:sz w:val="24"/>
                <w:szCs w:val="24"/>
                <w:lang w:val="en-US"/>
              </w:rPr>
            </w:pPr>
            <w:r w:rsidRPr="009C5404">
              <w:rPr>
                <w:rFonts w:cs="Calibri"/>
                <w:sz w:val="24"/>
                <w:szCs w:val="24"/>
                <w:lang w:val="en-US"/>
              </w:rPr>
              <w:t xml:space="preserve">Chen </w:t>
            </w:r>
            <w:proofErr w:type="spellStart"/>
            <w:r w:rsidRPr="009C5404">
              <w:rPr>
                <w:rFonts w:cs="Calibri"/>
                <w:sz w:val="24"/>
                <w:szCs w:val="24"/>
                <w:lang w:val="en-US"/>
              </w:rPr>
              <w:t>Yongjun</w:t>
            </w:r>
            <w:proofErr w:type="spellEnd"/>
            <w:r w:rsidRPr="009C5404">
              <w:rPr>
                <w:rFonts w:cs="Calibri"/>
                <w:sz w:val="24"/>
                <w:szCs w:val="24"/>
                <w:lang w:val="en-US"/>
              </w:rPr>
              <w:t xml:space="preserve"> - CDGDC China (</w:t>
            </w:r>
            <w:hyperlink r:id="rId8" w:history="1">
              <w:r w:rsidRPr="009C5404">
                <w:rPr>
                  <w:rStyle w:val="Hyperlink"/>
                  <w:rFonts w:cs="Calibri"/>
                  <w:sz w:val="24"/>
                  <w:szCs w:val="24"/>
                  <w:lang w:val="en-US"/>
                </w:rPr>
                <w:t>international@cdgdc.edu.cn</w:t>
              </w:r>
            </w:hyperlink>
            <w:r w:rsidRPr="009C5404">
              <w:rPr>
                <w:rFonts w:cs="Calibri"/>
                <w:sz w:val="24"/>
                <w:szCs w:val="24"/>
                <w:lang w:val="en-US"/>
              </w:rPr>
              <w:t xml:space="preserve"> )</w:t>
            </w:r>
          </w:p>
          <w:p w14:paraId="2FD0ABEA" w14:textId="77777777" w:rsidR="00BF1A64" w:rsidRPr="009C5404" w:rsidRDefault="00BF1A64" w:rsidP="00BF1A64">
            <w:pPr>
              <w:autoSpaceDE w:val="0"/>
              <w:autoSpaceDN w:val="0"/>
              <w:adjustRightInd w:val="0"/>
              <w:rPr>
                <w:rFonts w:cs="Calibri"/>
                <w:sz w:val="24"/>
                <w:szCs w:val="24"/>
                <w:lang w:val="en-US"/>
              </w:rPr>
            </w:pPr>
            <w:r w:rsidRPr="009C5404">
              <w:rPr>
                <w:rFonts w:cs="Calibri"/>
                <w:sz w:val="24"/>
                <w:szCs w:val="24"/>
                <w:lang w:val="en-US"/>
              </w:rPr>
              <w:lastRenderedPageBreak/>
              <w:t xml:space="preserve">Nongnuch </w:t>
            </w:r>
            <w:proofErr w:type="spellStart"/>
            <w:r w:rsidRPr="009C5404">
              <w:rPr>
                <w:rFonts w:cs="Calibri"/>
                <w:sz w:val="24"/>
                <w:szCs w:val="24"/>
                <w:lang w:val="en-US"/>
              </w:rPr>
              <w:t>Chunbandit</w:t>
            </w:r>
            <w:proofErr w:type="spellEnd"/>
            <w:r w:rsidRPr="009C5404">
              <w:rPr>
                <w:rFonts w:cs="Calibri"/>
                <w:sz w:val="24"/>
                <w:szCs w:val="24"/>
                <w:lang w:val="en-US"/>
              </w:rPr>
              <w:t xml:space="preserve"> – Thailand (</w:t>
            </w:r>
            <w:hyperlink r:id="rId9" w:history="1">
              <w:r w:rsidRPr="009C5404">
                <w:rPr>
                  <w:rStyle w:val="Hyperlink"/>
                  <w:rFonts w:cs="Calibri"/>
                  <w:sz w:val="24"/>
                  <w:szCs w:val="24"/>
                  <w:lang w:val="en-US"/>
                </w:rPr>
                <w:t>nongnuch.ohec@gmail.com</w:t>
              </w:r>
            </w:hyperlink>
            <w:r w:rsidRPr="009C5404">
              <w:rPr>
                <w:rFonts w:cs="Calibri"/>
                <w:sz w:val="24"/>
                <w:szCs w:val="24"/>
                <w:lang w:val="en-US"/>
              </w:rPr>
              <w:t xml:space="preserve"> )</w:t>
            </w:r>
          </w:p>
          <w:p w14:paraId="73600E31" w14:textId="1DA6DC08" w:rsidR="00BF1A64" w:rsidRDefault="00BF1A64" w:rsidP="00BF1A64">
            <w:pPr>
              <w:autoSpaceDE w:val="0"/>
              <w:autoSpaceDN w:val="0"/>
              <w:adjustRightInd w:val="0"/>
              <w:rPr>
                <w:rFonts w:cs="Calibri"/>
                <w:sz w:val="24"/>
                <w:szCs w:val="24"/>
                <w:lang w:val="fr-FR"/>
              </w:rPr>
            </w:pPr>
            <w:proofErr w:type="spellStart"/>
            <w:r w:rsidRPr="00AF11F6">
              <w:rPr>
                <w:rFonts w:cs="Calibri"/>
                <w:sz w:val="24"/>
                <w:szCs w:val="24"/>
                <w:lang w:val="fr-FR"/>
              </w:rPr>
              <w:t>Baiba</w:t>
            </w:r>
            <w:proofErr w:type="spellEnd"/>
            <w:r w:rsidRPr="00AF11F6">
              <w:rPr>
                <w:rFonts w:cs="Calibri"/>
                <w:sz w:val="24"/>
                <w:szCs w:val="24"/>
                <w:lang w:val="fr-FR"/>
              </w:rPr>
              <w:t xml:space="preserve"> </w:t>
            </w:r>
            <w:proofErr w:type="spellStart"/>
            <w:r w:rsidRPr="00AF11F6">
              <w:rPr>
                <w:rFonts w:cs="Calibri"/>
                <w:sz w:val="24"/>
                <w:szCs w:val="24"/>
                <w:lang w:val="fr-FR"/>
              </w:rPr>
              <w:t>Ramina</w:t>
            </w:r>
            <w:proofErr w:type="spellEnd"/>
            <w:r w:rsidRPr="00AF11F6">
              <w:rPr>
                <w:rFonts w:cs="Calibri"/>
                <w:sz w:val="24"/>
                <w:szCs w:val="24"/>
                <w:lang w:val="fr-FR"/>
              </w:rPr>
              <w:t xml:space="preserve"> – </w:t>
            </w:r>
            <w:proofErr w:type="spellStart"/>
            <w:r w:rsidRPr="00AF11F6">
              <w:rPr>
                <w:rFonts w:cs="Calibri"/>
                <w:sz w:val="24"/>
                <w:szCs w:val="24"/>
                <w:lang w:val="fr-FR"/>
              </w:rPr>
              <w:t>Latvia</w:t>
            </w:r>
            <w:proofErr w:type="spellEnd"/>
            <w:r w:rsidRPr="00AF11F6">
              <w:rPr>
                <w:rFonts w:cs="Calibri"/>
                <w:sz w:val="24"/>
                <w:szCs w:val="24"/>
                <w:lang w:val="fr-FR"/>
              </w:rPr>
              <w:t xml:space="preserve"> (</w:t>
            </w:r>
            <w:hyperlink r:id="rId10" w:history="1">
              <w:r w:rsidR="00BA5211" w:rsidRPr="003B4F78">
                <w:rPr>
                  <w:rStyle w:val="Hyperlink"/>
                  <w:lang w:val="fr-FR"/>
                </w:rPr>
                <w:t>baiba@aic.lv</w:t>
              </w:r>
            </w:hyperlink>
            <w:r w:rsidR="00BA5211">
              <w:rPr>
                <w:lang w:val="fr-FR"/>
              </w:rPr>
              <w:t xml:space="preserve"> </w:t>
            </w:r>
            <w:r w:rsidRPr="00AF11F6">
              <w:rPr>
                <w:rFonts w:cs="Calibri"/>
                <w:sz w:val="24"/>
                <w:szCs w:val="24"/>
                <w:lang w:val="fr-FR"/>
              </w:rPr>
              <w:t>)</w:t>
            </w:r>
          </w:p>
          <w:p w14:paraId="7CEADAD6" w14:textId="3A8C82EF" w:rsidR="00EC569C" w:rsidRPr="00EC569C" w:rsidRDefault="00EC569C" w:rsidP="00BF1A64">
            <w:pPr>
              <w:autoSpaceDE w:val="0"/>
              <w:autoSpaceDN w:val="0"/>
              <w:adjustRightInd w:val="0"/>
              <w:rPr>
                <w:rFonts w:cstheme="minorHAnsi"/>
                <w:sz w:val="24"/>
                <w:szCs w:val="24"/>
                <w:lang w:val="fr-FR"/>
              </w:rPr>
            </w:pPr>
            <w:r>
              <w:rPr>
                <w:rFonts w:cs="Calibri"/>
                <w:sz w:val="24"/>
                <w:szCs w:val="24"/>
                <w:lang w:val="fr-FR"/>
              </w:rPr>
              <w:t xml:space="preserve">Kristina </w:t>
            </w:r>
            <w:proofErr w:type="spellStart"/>
            <w:r>
              <w:rPr>
                <w:rFonts w:cs="Calibri"/>
                <w:sz w:val="24"/>
                <w:szCs w:val="24"/>
                <w:lang w:val="fr-FR"/>
              </w:rPr>
              <w:t>Sutkute</w:t>
            </w:r>
            <w:proofErr w:type="spellEnd"/>
            <w:r>
              <w:rPr>
                <w:rFonts w:cs="Calibri"/>
                <w:sz w:val="24"/>
                <w:szCs w:val="24"/>
                <w:lang w:val="fr-FR"/>
              </w:rPr>
              <w:t xml:space="preserve"> – </w:t>
            </w:r>
            <w:proofErr w:type="spellStart"/>
            <w:r w:rsidRPr="00EC569C">
              <w:rPr>
                <w:rFonts w:cstheme="minorHAnsi"/>
                <w:sz w:val="24"/>
                <w:szCs w:val="24"/>
                <w:lang w:val="fr-FR"/>
              </w:rPr>
              <w:t>Lithuania</w:t>
            </w:r>
            <w:proofErr w:type="spellEnd"/>
            <w:r w:rsidRPr="00EC569C">
              <w:rPr>
                <w:rFonts w:cstheme="minorHAnsi"/>
                <w:sz w:val="24"/>
                <w:szCs w:val="24"/>
                <w:lang w:val="fr-FR"/>
              </w:rPr>
              <w:t xml:space="preserve"> (</w:t>
            </w:r>
            <w:hyperlink r:id="rId11" w:history="1">
              <w:r w:rsidRPr="00EC569C">
                <w:rPr>
                  <w:rStyle w:val="Hyperlink"/>
                  <w:rFonts w:cstheme="minorHAnsi"/>
                  <w:sz w:val="24"/>
                  <w:szCs w:val="24"/>
                  <w:lang w:val="en-US"/>
                </w:rPr>
                <w:t>Kristina.Sutkute@skvc.lt</w:t>
              </w:r>
            </w:hyperlink>
            <w:r w:rsidRPr="00EC569C">
              <w:rPr>
                <w:rFonts w:cstheme="minorHAnsi"/>
                <w:sz w:val="24"/>
                <w:szCs w:val="24"/>
                <w:lang w:val="en-US"/>
              </w:rPr>
              <w:t> )</w:t>
            </w:r>
          </w:p>
          <w:p w14:paraId="470D5401" w14:textId="77777777" w:rsidR="00BF1A64" w:rsidRPr="00C928EB" w:rsidRDefault="00BF1A64" w:rsidP="00BF1A64">
            <w:pPr>
              <w:autoSpaceDE w:val="0"/>
              <w:autoSpaceDN w:val="0"/>
              <w:adjustRightInd w:val="0"/>
              <w:rPr>
                <w:rFonts w:cs="Calibri"/>
                <w:sz w:val="24"/>
                <w:szCs w:val="24"/>
                <w:lang w:val="en-US"/>
              </w:rPr>
            </w:pPr>
            <w:r w:rsidRPr="00C928EB">
              <w:rPr>
                <w:rFonts w:cs="Calibri"/>
                <w:sz w:val="24"/>
                <w:szCs w:val="24"/>
                <w:lang w:val="en-US"/>
              </w:rPr>
              <w:t>Alam Nasrah Ikhlas – Indonesia (</w:t>
            </w:r>
            <w:hyperlink r:id="rId12" w:history="1">
              <w:r w:rsidRPr="00C928EB">
                <w:rPr>
                  <w:rStyle w:val="Hyperlink"/>
                  <w:rFonts w:ascii="Calibri" w:hAnsi="Calibri"/>
                  <w:sz w:val="24"/>
                  <w:szCs w:val="24"/>
                  <w:lang w:val="en-US"/>
                </w:rPr>
                <w:t>Alamnasrahi@gmail.com</w:t>
              </w:r>
            </w:hyperlink>
            <w:r w:rsidRPr="00C928EB">
              <w:rPr>
                <w:rFonts w:ascii="Calibri" w:hAnsi="Calibri"/>
                <w:sz w:val="24"/>
                <w:szCs w:val="24"/>
                <w:lang w:val="en-US"/>
              </w:rPr>
              <w:t>)</w:t>
            </w:r>
          </w:p>
          <w:p w14:paraId="655C7AE9" w14:textId="21909BD4" w:rsidR="00BF1A64" w:rsidRDefault="00BF1A64" w:rsidP="00BF1A64">
            <w:pPr>
              <w:autoSpaceDE w:val="0"/>
              <w:autoSpaceDN w:val="0"/>
              <w:adjustRightInd w:val="0"/>
              <w:rPr>
                <w:rFonts w:cs="Calibri"/>
                <w:sz w:val="24"/>
                <w:szCs w:val="24"/>
                <w:lang w:val="de-DE"/>
              </w:rPr>
            </w:pPr>
            <w:r w:rsidRPr="00AF11F6">
              <w:rPr>
                <w:rFonts w:cs="Calibri"/>
                <w:sz w:val="24"/>
                <w:szCs w:val="24"/>
                <w:lang w:val="de-DE"/>
              </w:rPr>
              <w:t>Saskia Weissenbach – Germany (</w:t>
            </w:r>
            <w:hyperlink r:id="rId13" w:history="1">
              <w:r w:rsidRPr="00AF11F6">
                <w:rPr>
                  <w:rStyle w:val="Hyperlink"/>
                  <w:rFonts w:cs="Calibri"/>
                  <w:sz w:val="24"/>
                  <w:szCs w:val="24"/>
                  <w:lang w:val="de-DE"/>
                </w:rPr>
                <w:t>weissenbach@daad.de</w:t>
              </w:r>
            </w:hyperlink>
            <w:r w:rsidRPr="00AF11F6">
              <w:rPr>
                <w:rFonts w:cs="Calibri"/>
                <w:sz w:val="24"/>
                <w:szCs w:val="24"/>
                <w:lang w:val="de-DE"/>
              </w:rPr>
              <w:t xml:space="preserve"> )</w:t>
            </w:r>
          </w:p>
          <w:p w14:paraId="43B6E77C" w14:textId="1BE3C34A" w:rsidR="00AC4CDB" w:rsidRDefault="00AC4CDB" w:rsidP="00BF1A64">
            <w:pPr>
              <w:autoSpaceDE w:val="0"/>
              <w:autoSpaceDN w:val="0"/>
              <w:adjustRightInd w:val="0"/>
              <w:rPr>
                <w:sz w:val="24"/>
                <w:szCs w:val="24"/>
                <w:lang w:val="en-US" w:eastAsia="nl-BE"/>
              </w:rPr>
            </w:pPr>
            <w:r w:rsidRPr="00AC4CDB">
              <w:rPr>
                <w:rFonts w:cs="Calibri"/>
                <w:sz w:val="24"/>
                <w:szCs w:val="24"/>
                <w:lang w:val="de-DE"/>
              </w:rPr>
              <w:t>Philippe Lalle – France (</w:t>
            </w:r>
            <w:hyperlink r:id="rId14" w:history="1">
              <w:r w:rsidRPr="00AC4CDB">
                <w:rPr>
                  <w:rStyle w:val="Hyperlink"/>
                  <w:sz w:val="24"/>
                  <w:szCs w:val="24"/>
                  <w:lang w:val="en-US" w:eastAsia="nl-BE"/>
                </w:rPr>
                <w:t>philippe.lalle@enseignementsup.gouv.fr</w:t>
              </w:r>
            </w:hyperlink>
            <w:r w:rsidRPr="00AC4CDB">
              <w:rPr>
                <w:sz w:val="24"/>
                <w:szCs w:val="24"/>
                <w:lang w:val="en-US" w:eastAsia="nl-BE"/>
              </w:rPr>
              <w:t>)</w:t>
            </w:r>
          </w:p>
          <w:p w14:paraId="0BC7ADF3" w14:textId="58394F7E" w:rsidR="009E04C8" w:rsidRDefault="009E04C8" w:rsidP="00BF1A64">
            <w:pPr>
              <w:autoSpaceDE w:val="0"/>
              <w:autoSpaceDN w:val="0"/>
              <w:adjustRightInd w:val="0"/>
              <w:rPr>
                <w:sz w:val="24"/>
                <w:szCs w:val="24"/>
                <w:lang w:val="en-US" w:eastAsia="nl-BE"/>
              </w:rPr>
            </w:pPr>
            <w:r>
              <w:rPr>
                <w:sz w:val="24"/>
                <w:szCs w:val="24"/>
                <w:lang w:val="en-US" w:eastAsia="nl-BE"/>
              </w:rPr>
              <w:t>Malaysia</w:t>
            </w:r>
          </w:p>
          <w:p w14:paraId="29AB72CF" w14:textId="5FFBF69F" w:rsidR="009E04C8" w:rsidRDefault="009E04C8" w:rsidP="00BF1A64">
            <w:pPr>
              <w:autoSpaceDE w:val="0"/>
              <w:autoSpaceDN w:val="0"/>
              <w:adjustRightInd w:val="0"/>
              <w:rPr>
                <w:sz w:val="24"/>
                <w:szCs w:val="24"/>
                <w:lang w:val="en-US" w:eastAsia="nl-BE"/>
              </w:rPr>
            </w:pPr>
            <w:r>
              <w:rPr>
                <w:sz w:val="24"/>
                <w:szCs w:val="24"/>
                <w:lang w:val="en-US" w:eastAsia="nl-BE"/>
              </w:rPr>
              <w:t>Russia</w:t>
            </w:r>
          </w:p>
          <w:p w14:paraId="60311471" w14:textId="232FB3F0" w:rsidR="00AC36A7" w:rsidRDefault="00AC36A7" w:rsidP="00BF1A64">
            <w:pPr>
              <w:autoSpaceDE w:val="0"/>
              <w:autoSpaceDN w:val="0"/>
              <w:adjustRightInd w:val="0"/>
              <w:rPr>
                <w:sz w:val="24"/>
                <w:szCs w:val="24"/>
                <w:lang w:val="en-US" w:eastAsia="nl-BE"/>
              </w:rPr>
            </w:pPr>
            <w:r>
              <w:rPr>
                <w:sz w:val="24"/>
                <w:szCs w:val="24"/>
                <w:lang w:val="en-US" w:eastAsia="nl-BE"/>
              </w:rPr>
              <w:t>Romania?</w:t>
            </w:r>
          </w:p>
          <w:p w14:paraId="7816D15B" w14:textId="41BD96D0" w:rsidR="00AC36A7" w:rsidRDefault="00AC36A7" w:rsidP="00BF1A64">
            <w:pPr>
              <w:autoSpaceDE w:val="0"/>
              <w:autoSpaceDN w:val="0"/>
              <w:adjustRightInd w:val="0"/>
              <w:rPr>
                <w:sz w:val="24"/>
                <w:szCs w:val="24"/>
                <w:lang w:val="en-US" w:eastAsia="nl-BE"/>
              </w:rPr>
            </w:pPr>
            <w:r>
              <w:rPr>
                <w:sz w:val="24"/>
                <w:szCs w:val="24"/>
                <w:lang w:val="en-US" w:eastAsia="nl-BE"/>
              </w:rPr>
              <w:t>Portugal?</w:t>
            </w:r>
          </w:p>
          <w:p w14:paraId="214F73BE" w14:textId="61F795FA" w:rsidR="00AC36A7" w:rsidRDefault="00AC36A7" w:rsidP="00BF1A64">
            <w:pPr>
              <w:autoSpaceDE w:val="0"/>
              <w:autoSpaceDN w:val="0"/>
              <w:adjustRightInd w:val="0"/>
              <w:rPr>
                <w:sz w:val="24"/>
                <w:szCs w:val="24"/>
                <w:lang w:val="en-US" w:eastAsia="nl-BE"/>
              </w:rPr>
            </w:pPr>
            <w:r>
              <w:rPr>
                <w:sz w:val="24"/>
                <w:szCs w:val="24"/>
                <w:lang w:val="en-US" w:eastAsia="nl-BE"/>
              </w:rPr>
              <w:t>Brunei?</w:t>
            </w:r>
            <w:bookmarkStart w:id="0" w:name="_GoBack"/>
            <w:bookmarkEnd w:id="0"/>
          </w:p>
          <w:p w14:paraId="5306B734" w14:textId="2FBEB1F3" w:rsidR="00AC36A7" w:rsidRPr="00AC4CDB" w:rsidRDefault="00AC36A7" w:rsidP="00BF1A64">
            <w:pPr>
              <w:autoSpaceDE w:val="0"/>
              <w:autoSpaceDN w:val="0"/>
              <w:adjustRightInd w:val="0"/>
              <w:rPr>
                <w:rFonts w:cs="Calibri"/>
                <w:sz w:val="24"/>
                <w:szCs w:val="24"/>
                <w:lang w:val="de-DE"/>
              </w:rPr>
            </w:pPr>
            <w:r>
              <w:rPr>
                <w:sz w:val="24"/>
                <w:szCs w:val="24"/>
                <w:lang w:val="en-US" w:eastAsia="nl-BE"/>
              </w:rPr>
              <w:t>UK</w:t>
            </w:r>
          </w:p>
          <w:p w14:paraId="27E4209A" w14:textId="77777777" w:rsidR="00BF1A64" w:rsidRPr="009C5404" w:rsidRDefault="00BF1A64" w:rsidP="00BF1A64">
            <w:pPr>
              <w:autoSpaceDE w:val="0"/>
              <w:autoSpaceDN w:val="0"/>
              <w:adjustRightInd w:val="0"/>
              <w:rPr>
                <w:rFonts w:cs="Calibri"/>
                <w:sz w:val="24"/>
                <w:szCs w:val="24"/>
                <w:lang w:val="en-US"/>
              </w:rPr>
            </w:pPr>
            <w:r w:rsidRPr="009C5404">
              <w:rPr>
                <w:rFonts w:cs="Calibri"/>
                <w:sz w:val="24"/>
                <w:szCs w:val="24"/>
                <w:lang w:val="en-US"/>
              </w:rPr>
              <w:t xml:space="preserve">David </w:t>
            </w:r>
            <w:r>
              <w:rPr>
                <w:rFonts w:cs="Calibri"/>
                <w:sz w:val="24"/>
                <w:szCs w:val="24"/>
                <w:lang w:val="en-US"/>
              </w:rPr>
              <w:t xml:space="preserve">Urban – </w:t>
            </w:r>
            <w:proofErr w:type="spellStart"/>
            <w:r w:rsidRPr="009C5404">
              <w:rPr>
                <w:rFonts w:cs="Calibri"/>
                <w:sz w:val="24"/>
                <w:szCs w:val="24"/>
                <w:lang w:val="en-US"/>
              </w:rPr>
              <w:t>A</w:t>
            </w:r>
            <w:r>
              <w:rPr>
                <w:rFonts w:cs="Calibri"/>
                <w:sz w:val="24"/>
                <w:szCs w:val="24"/>
                <w:lang w:val="en-US"/>
              </w:rPr>
              <w:t>sem</w:t>
            </w:r>
            <w:proofErr w:type="spellEnd"/>
            <w:r>
              <w:rPr>
                <w:rFonts w:cs="Calibri"/>
                <w:sz w:val="24"/>
                <w:szCs w:val="24"/>
                <w:lang w:val="en-US"/>
              </w:rPr>
              <w:t xml:space="preserve"> Education </w:t>
            </w:r>
            <w:r w:rsidRPr="009C5404">
              <w:rPr>
                <w:rFonts w:cs="Calibri"/>
                <w:sz w:val="24"/>
                <w:szCs w:val="24"/>
                <w:lang w:val="en-US"/>
              </w:rPr>
              <w:t>S</w:t>
            </w:r>
            <w:r>
              <w:rPr>
                <w:rFonts w:cs="Calibri"/>
                <w:sz w:val="24"/>
                <w:szCs w:val="24"/>
                <w:lang w:val="en-US"/>
              </w:rPr>
              <w:t>ecretariat (</w:t>
            </w:r>
            <w:hyperlink r:id="rId15" w:history="1">
              <w:r w:rsidRPr="002B186A">
                <w:rPr>
                  <w:rStyle w:val="Hyperlink"/>
                  <w:rFonts w:cs="Calibri"/>
                  <w:sz w:val="24"/>
                  <w:szCs w:val="24"/>
                  <w:lang w:val="en-US"/>
                </w:rPr>
                <w:t>david.urban@ond.vlaanderen.be</w:t>
              </w:r>
            </w:hyperlink>
            <w:r>
              <w:rPr>
                <w:rFonts w:cs="Calibri"/>
                <w:sz w:val="24"/>
                <w:szCs w:val="24"/>
                <w:lang w:val="en-US"/>
              </w:rPr>
              <w:t xml:space="preserve"> )</w:t>
            </w:r>
          </w:p>
          <w:p w14:paraId="123E14BB" w14:textId="2D218322" w:rsidR="005659CE" w:rsidRPr="00E65764" w:rsidRDefault="005659CE" w:rsidP="00E65764">
            <w:pPr>
              <w:autoSpaceDE w:val="0"/>
              <w:autoSpaceDN w:val="0"/>
              <w:adjustRightInd w:val="0"/>
              <w:ind w:left="34"/>
              <w:rPr>
                <w:rFonts w:cs="Calibri-Bold"/>
                <w:b/>
                <w:bCs/>
                <w:sz w:val="24"/>
                <w:szCs w:val="24"/>
                <w:lang w:val="en-US"/>
              </w:rPr>
            </w:pPr>
          </w:p>
        </w:tc>
      </w:tr>
      <w:tr w:rsidR="00345E5E" w:rsidRPr="00BA5211" w14:paraId="08B8EA57" w14:textId="77777777" w:rsidTr="00345E5E">
        <w:tc>
          <w:tcPr>
            <w:tcW w:w="9062" w:type="dxa"/>
          </w:tcPr>
          <w:p w14:paraId="1B940C24" w14:textId="77777777" w:rsidR="00345E5E" w:rsidRDefault="00345E5E" w:rsidP="00345E5E">
            <w:pPr>
              <w:autoSpaceDE w:val="0"/>
              <w:autoSpaceDN w:val="0"/>
              <w:adjustRightInd w:val="0"/>
              <w:rPr>
                <w:rFonts w:cs="Calibri-Bold"/>
                <w:b/>
                <w:bCs/>
                <w:sz w:val="24"/>
                <w:szCs w:val="24"/>
                <w:lang w:val="en-US"/>
              </w:rPr>
            </w:pPr>
            <w:r w:rsidRPr="0000177F">
              <w:rPr>
                <w:rFonts w:cs="Calibri-Bold"/>
                <w:b/>
                <w:bCs/>
                <w:sz w:val="24"/>
                <w:szCs w:val="24"/>
                <w:lang w:val="en-US"/>
              </w:rPr>
              <w:lastRenderedPageBreak/>
              <w:t>Mission</w:t>
            </w:r>
          </w:p>
          <w:p w14:paraId="19A2893D" w14:textId="77777777" w:rsidR="00157773" w:rsidRPr="0000177F" w:rsidRDefault="00157773" w:rsidP="00345E5E">
            <w:pPr>
              <w:autoSpaceDE w:val="0"/>
              <w:autoSpaceDN w:val="0"/>
              <w:adjustRightInd w:val="0"/>
              <w:rPr>
                <w:rFonts w:cs="Calibri-Bold"/>
                <w:b/>
                <w:bCs/>
                <w:sz w:val="24"/>
                <w:szCs w:val="24"/>
                <w:lang w:val="en-US"/>
              </w:rPr>
            </w:pPr>
          </w:p>
          <w:p w14:paraId="0B779991" w14:textId="2A657B6F" w:rsidR="00345E5E" w:rsidRDefault="00345E5E" w:rsidP="00345E5E">
            <w:pPr>
              <w:pStyle w:val="Default"/>
              <w:jc w:val="both"/>
              <w:rPr>
                <w:rFonts w:asciiTheme="minorHAnsi" w:hAnsiTheme="minorHAnsi"/>
                <w:lang w:val="en-US"/>
              </w:rPr>
            </w:pPr>
            <w:r w:rsidRPr="0000177F">
              <w:rPr>
                <w:rFonts w:asciiTheme="minorHAnsi" w:hAnsiTheme="minorHAnsi"/>
                <w:lang w:val="en-US"/>
              </w:rPr>
              <w:t>The mission of the Expert Group is to facilitate dialogue, enhance understanding, strengthen mutual-trust, and promote cooperation in areas of credit transfer mechanisms and learning outcomes systems, with emphasis on working out concrete and feasible plans and activities whi</w:t>
            </w:r>
            <w:r w:rsidR="00784AD0">
              <w:rPr>
                <w:rFonts w:asciiTheme="minorHAnsi" w:hAnsiTheme="minorHAnsi"/>
                <w:lang w:val="en-US"/>
              </w:rPr>
              <w:t xml:space="preserve">le taking into consideration the diverse higher education </w:t>
            </w:r>
            <w:r w:rsidR="00784AD0" w:rsidRPr="00A50647">
              <w:rPr>
                <w:rFonts w:asciiTheme="minorHAnsi" w:hAnsiTheme="minorHAnsi"/>
                <w:lang w:val="en-US"/>
              </w:rPr>
              <w:t xml:space="preserve">systems </w:t>
            </w:r>
            <w:r w:rsidRPr="00A50647">
              <w:rPr>
                <w:rFonts w:asciiTheme="minorHAnsi" w:hAnsiTheme="minorHAnsi"/>
                <w:lang w:val="en-US"/>
              </w:rPr>
              <w:t xml:space="preserve">in the ASEM </w:t>
            </w:r>
            <w:r w:rsidR="00A50647" w:rsidRPr="00A50647">
              <w:rPr>
                <w:rFonts w:asciiTheme="minorHAnsi" w:hAnsiTheme="minorHAnsi"/>
                <w:lang w:val="en-US"/>
              </w:rPr>
              <w:t>partner</w:t>
            </w:r>
            <w:r w:rsidRPr="00A50647">
              <w:rPr>
                <w:rFonts w:asciiTheme="minorHAnsi" w:hAnsiTheme="minorHAnsi"/>
                <w:lang w:val="en-US"/>
              </w:rPr>
              <w:t xml:space="preserve"> countries, in order to foster the establishment of ASEM interregional credit transfer mechanism</w:t>
            </w:r>
            <w:r w:rsidR="00057438" w:rsidRPr="00A50647">
              <w:rPr>
                <w:rFonts w:asciiTheme="minorHAnsi" w:hAnsiTheme="minorHAnsi"/>
                <w:lang w:val="en-US"/>
              </w:rPr>
              <w:t>s</w:t>
            </w:r>
            <w:r w:rsidR="00DE6EBD" w:rsidRPr="00A50647">
              <w:rPr>
                <w:rFonts w:asciiTheme="minorHAnsi" w:hAnsiTheme="minorHAnsi"/>
                <w:lang w:val="en-US"/>
              </w:rPr>
              <w:t xml:space="preserve">, to facilitate recognition </w:t>
            </w:r>
            <w:r w:rsidR="008873AE" w:rsidRPr="00A50647">
              <w:rPr>
                <w:rFonts w:asciiTheme="minorHAnsi" w:hAnsiTheme="minorHAnsi"/>
                <w:lang w:val="en-US"/>
              </w:rPr>
              <w:t xml:space="preserve">of credits </w:t>
            </w:r>
            <w:r w:rsidR="00DE6EBD" w:rsidRPr="00A50647">
              <w:rPr>
                <w:rFonts w:asciiTheme="minorHAnsi" w:hAnsiTheme="minorHAnsi"/>
                <w:lang w:val="en-US"/>
              </w:rPr>
              <w:t>and learning outcomes</w:t>
            </w:r>
            <w:r w:rsidRPr="00A50647">
              <w:rPr>
                <w:rFonts w:asciiTheme="minorHAnsi" w:hAnsiTheme="minorHAnsi"/>
                <w:lang w:val="en-US"/>
              </w:rPr>
              <w:t>.</w:t>
            </w:r>
            <w:r w:rsidRPr="0000177F">
              <w:rPr>
                <w:rFonts w:asciiTheme="minorHAnsi" w:hAnsiTheme="minorHAnsi"/>
                <w:lang w:val="en-US"/>
              </w:rPr>
              <w:t xml:space="preserve"> </w:t>
            </w:r>
          </w:p>
          <w:p w14:paraId="064B1031" w14:textId="77777777" w:rsidR="001271A2" w:rsidRPr="0000177F" w:rsidRDefault="001271A2" w:rsidP="00345E5E">
            <w:pPr>
              <w:pStyle w:val="Default"/>
              <w:jc w:val="both"/>
              <w:rPr>
                <w:rFonts w:asciiTheme="minorHAnsi" w:hAnsiTheme="minorHAnsi"/>
                <w:lang w:val="en-US"/>
              </w:rPr>
            </w:pPr>
          </w:p>
        </w:tc>
      </w:tr>
      <w:tr w:rsidR="00345E5E" w:rsidRPr="00BA5211" w14:paraId="1B13A1EF" w14:textId="77777777" w:rsidTr="00345E5E">
        <w:tc>
          <w:tcPr>
            <w:tcW w:w="9062" w:type="dxa"/>
          </w:tcPr>
          <w:p w14:paraId="3902CA79" w14:textId="77777777" w:rsidR="00345E5E" w:rsidRDefault="00345E5E" w:rsidP="00345E5E">
            <w:pPr>
              <w:autoSpaceDE w:val="0"/>
              <w:autoSpaceDN w:val="0"/>
              <w:adjustRightInd w:val="0"/>
              <w:rPr>
                <w:rFonts w:cs="Calibri-Bold"/>
                <w:b/>
                <w:bCs/>
                <w:sz w:val="24"/>
                <w:szCs w:val="24"/>
                <w:lang w:val="en-US"/>
              </w:rPr>
            </w:pPr>
            <w:r w:rsidRPr="0000177F">
              <w:rPr>
                <w:rFonts w:cs="Calibri-Bold"/>
                <w:b/>
                <w:bCs/>
                <w:sz w:val="24"/>
                <w:szCs w:val="24"/>
                <w:lang w:val="en-US"/>
              </w:rPr>
              <w:t>Reference to the Conclusion by the Chair at ASEMME</w:t>
            </w:r>
          </w:p>
          <w:p w14:paraId="3B1E46A5" w14:textId="77777777" w:rsidR="00157773" w:rsidRPr="0000177F" w:rsidRDefault="00157773" w:rsidP="00345E5E">
            <w:pPr>
              <w:autoSpaceDE w:val="0"/>
              <w:autoSpaceDN w:val="0"/>
              <w:adjustRightInd w:val="0"/>
              <w:rPr>
                <w:rFonts w:cs="Calibri-Bold"/>
                <w:b/>
                <w:bCs/>
                <w:sz w:val="24"/>
                <w:szCs w:val="24"/>
                <w:lang w:val="en-US"/>
              </w:rPr>
            </w:pPr>
          </w:p>
          <w:p w14:paraId="1388F4BF" w14:textId="044EF382" w:rsidR="00345E5E" w:rsidRDefault="00345E5E" w:rsidP="0000177F">
            <w:pPr>
              <w:pStyle w:val="Default"/>
              <w:rPr>
                <w:rFonts w:asciiTheme="minorHAnsi" w:hAnsiTheme="minorHAnsi"/>
                <w:lang w:val="en-US"/>
              </w:rPr>
            </w:pPr>
            <w:r w:rsidRPr="0000177F">
              <w:rPr>
                <w:rFonts w:asciiTheme="minorHAnsi" w:hAnsiTheme="minorHAnsi"/>
                <w:lang w:val="en-US"/>
              </w:rPr>
              <w:t xml:space="preserve">Referring to Paragraph 18 and Paragraph 21 of the </w:t>
            </w:r>
            <w:r w:rsidRPr="0000177F">
              <w:rPr>
                <w:rFonts w:asciiTheme="minorHAnsi" w:hAnsiTheme="minorHAnsi"/>
                <w:i/>
                <w:iCs/>
                <w:lang w:val="en-US"/>
              </w:rPr>
              <w:t xml:space="preserve">Conclusions by the Chair </w:t>
            </w:r>
            <w:r w:rsidRPr="0000177F">
              <w:rPr>
                <w:rFonts w:asciiTheme="minorHAnsi" w:hAnsiTheme="minorHAnsi"/>
                <w:lang w:val="en-US"/>
              </w:rPr>
              <w:t xml:space="preserve">of the Fourth and Fifth Asia-Europe Meeting of the Ministers for Education (ASEMME4&amp;5) held respectively on 13~14 May, 2013 in Kuala Lumpur, Malaysia and 27~28 April 2015 in Riga, Latvia, Ministers supported to establish an Expert Group </w:t>
            </w:r>
            <w:r w:rsidRPr="00A50647">
              <w:rPr>
                <w:rFonts w:asciiTheme="minorHAnsi" w:hAnsiTheme="minorHAnsi"/>
                <w:lang w:val="en-US"/>
              </w:rPr>
              <w:t xml:space="preserve">discussing interregional credit transfer mechanisms and learning outcome systems among ASEM </w:t>
            </w:r>
            <w:r w:rsidR="00A50647" w:rsidRPr="00A50647">
              <w:rPr>
                <w:rFonts w:asciiTheme="minorHAnsi" w:hAnsiTheme="minorHAnsi"/>
                <w:lang w:val="en-US"/>
              </w:rPr>
              <w:t>partner</w:t>
            </w:r>
            <w:r w:rsidRPr="00A50647">
              <w:rPr>
                <w:rFonts w:asciiTheme="minorHAnsi" w:hAnsiTheme="minorHAnsi"/>
                <w:lang w:val="en-US"/>
              </w:rPr>
              <w:t xml:space="preserve"> countries</w:t>
            </w:r>
            <w:r w:rsidRPr="0000177F">
              <w:rPr>
                <w:rFonts w:asciiTheme="minorHAnsi" w:hAnsiTheme="minorHAnsi"/>
                <w:lang w:val="en-US"/>
              </w:rPr>
              <w:t xml:space="preserve"> to develop this initiative and agree on the aims and activities of the Expert Group.</w:t>
            </w:r>
            <w:r w:rsidR="0000177F" w:rsidRPr="0000177F">
              <w:rPr>
                <w:rFonts w:asciiTheme="minorHAnsi" w:hAnsiTheme="minorHAnsi"/>
                <w:lang w:val="en-US"/>
              </w:rPr>
              <w:t xml:space="preserve"> In ASEMME6 on 21~22 November 2017 in Seoul, the Republic of Korea the Ministers invited the Expert Group to regularly provide </w:t>
            </w:r>
            <w:r w:rsidR="0000177F" w:rsidRPr="00A50647">
              <w:rPr>
                <w:rFonts w:asciiTheme="minorHAnsi" w:hAnsiTheme="minorHAnsi"/>
                <w:lang w:val="en-US"/>
              </w:rPr>
              <w:t>information to ASEM partners on the progress</w:t>
            </w:r>
            <w:r w:rsidR="0000177F" w:rsidRPr="0000177F">
              <w:rPr>
                <w:rFonts w:asciiTheme="minorHAnsi" w:hAnsiTheme="minorHAnsi"/>
                <w:lang w:val="en-US"/>
              </w:rPr>
              <w:t xml:space="preserve"> of the work.</w:t>
            </w:r>
          </w:p>
          <w:p w14:paraId="0821FDD6" w14:textId="77777777" w:rsidR="001271A2" w:rsidRPr="0000177F" w:rsidRDefault="001271A2" w:rsidP="0000177F">
            <w:pPr>
              <w:pStyle w:val="Default"/>
              <w:rPr>
                <w:rFonts w:asciiTheme="minorHAnsi" w:hAnsiTheme="minorHAnsi"/>
                <w:lang w:val="en-US"/>
              </w:rPr>
            </w:pPr>
          </w:p>
        </w:tc>
      </w:tr>
      <w:tr w:rsidR="00345E5E" w:rsidRPr="00BA5211" w14:paraId="0F43592B" w14:textId="77777777" w:rsidTr="00345E5E">
        <w:tc>
          <w:tcPr>
            <w:tcW w:w="9062" w:type="dxa"/>
          </w:tcPr>
          <w:p w14:paraId="5B380139" w14:textId="77777777" w:rsidR="00345E5E" w:rsidRDefault="0000177F" w:rsidP="0000177F">
            <w:pPr>
              <w:autoSpaceDE w:val="0"/>
              <w:autoSpaceDN w:val="0"/>
              <w:adjustRightInd w:val="0"/>
              <w:rPr>
                <w:b/>
                <w:bCs/>
                <w:sz w:val="24"/>
                <w:szCs w:val="24"/>
                <w:lang w:val="en-US"/>
              </w:rPr>
            </w:pPr>
            <w:r w:rsidRPr="00ED1C00">
              <w:rPr>
                <w:b/>
                <w:bCs/>
                <w:sz w:val="24"/>
                <w:szCs w:val="24"/>
                <w:lang w:val="en-US"/>
              </w:rPr>
              <w:t>Mechanism</w:t>
            </w:r>
          </w:p>
          <w:p w14:paraId="0E93D8C7" w14:textId="77777777" w:rsidR="00157773" w:rsidRPr="00ED1C00" w:rsidRDefault="00157773" w:rsidP="0000177F">
            <w:pPr>
              <w:autoSpaceDE w:val="0"/>
              <w:autoSpaceDN w:val="0"/>
              <w:adjustRightInd w:val="0"/>
              <w:rPr>
                <w:b/>
                <w:bCs/>
                <w:sz w:val="24"/>
                <w:szCs w:val="24"/>
                <w:lang w:val="en-US"/>
              </w:rPr>
            </w:pPr>
          </w:p>
          <w:p w14:paraId="58F00170" w14:textId="77777777" w:rsidR="00142780" w:rsidRPr="00ED1C00" w:rsidRDefault="00142780" w:rsidP="00ED1C00">
            <w:pPr>
              <w:pStyle w:val="Default"/>
              <w:jc w:val="both"/>
              <w:rPr>
                <w:rFonts w:asciiTheme="minorHAnsi" w:hAnsiTheme="minorHAnsi"/>
                <w:u w:val="single"/>
                <w:lang w:val="en-US"/>
              </w:rPr>
            </w:pPr>
            <w:r w:rsidRPr="00ED1C00">
              <w:rPr>
                <w:rFonts w:asciiTheme="minorHAnsi" w:hAnsiTheme="minorHAnsi"/>
                <w:u w:val="single"/>
                <w:lang w:val="en-US"/>
              </w:rPr>
              <w:t xml:space="preserve">Structure </w:t>
            </w:r>
          </w:p>
          <w:p w14:paraId="0A7419E8" w14:textId="77777777" w:rsidR="00142780" w:rsidRPr="00ED1C00" w:rsidRDefault="00142780" w:rsidP="0095351C">
            <w:pPr>
              <w:pStyle w:val="Default"/>
              <w:numPr>
                <w:ilvl w:val="0"/>
                <w:numId w:val="1"/>
              </w:numPr>
              <w:ind w:left="318" w:hanging="318"/>
              <w:jc w:val="both"/>
              <w:rPr>
                <w:rFonts w:asciiTheme="minorHAnsi" w:hAnsiTheme="minorHAnsi"/>
                <w:lang w:val="en-US"/>
              </w:rPr>
            </w:pPr>
            <w:r w:rsidRPr="00ED1C00">
              <w:rPr>
                <w:rFonts w:asciiTheme="minorHAnsi" w:hAnsiTheme="minorHAnsi"/>
                <w:lang w:val="en-US"/>
              </w:rPr>
              <w:t xml:space="preserve">The Expert Group shall be established under the Asia-Europe Meeting of Ministers for Education; </w:t>
            </w:r>
          </w:p>
          <w:p w14:paraId="23128232" w14:textId="77777777" w:rsidR="00142780" w:rsidRPr="00ED1C00" w:rsidRDefault="00142780" w:rsidP="0095351C">
            <w:pPr>
              <w:pStyle w:val="Default"/>
              <w:numPr>
                <w:ilvl w:val="0"/>
                <w:numId w:val="1"/>
              </w:numPr>
              <w:ind w:left="318" w:hanging="318"/>
              <w:jc w:val="both"/>
              <w:rPr>
                <w:rFonts w:asciiTheme="minorHAnsi" w:hAnsiTheme="minorHAnsi"/>
                <w:lang w:val="en-US"/>
              </w:rPr>
            </w:pPr>
            <w:r w:rsidRPr="00ED1C00">
              <w:rPr>
                <w:rFonts w:asciiTheme="minorHAnsi" w:hAnsiTheme="minorHAnsi"/>
                <w:lang w:val="en-US"/>
              </w:rPr>
              <w:t xml:space="preserve">The Expert Group shall report to the Senior Officials Meeting and Ministers Meeting on a regular basis, and shall keep close contacts with the ASEM Education Secretariat. </w:t>
            </w:r>
          </w:p>
          <w:p w14:paraId="18197263" w14:textId="77777777" w:rsidR="00142780" w:rsidRPr="00ED1C00" w:rsidRDefault="00142780" w:rsidP="0095351C">
            <w:pPr>
              <w:pStyle w:val="Default"/>
              <w:ind w:left="318" w:hanging="318"/>
              <w:rPr>
                <w:rFonts w:asciiTheme="minorHAnsi" w:hAnsiTheme="minorHAnsi"/>
                <w:lang w:val="en-US"/>
              </w:rPr>
            </w:pPr>
          </w:p>
          <w:p w14:paraId="2345F89D" w14:textId="77777777" w:rsidR="00ED1C00" w:rsidRPr="00ED1C00" w:rsidRDefault="00ED1C00" w:rsidP="00ED1C00">
            <w:pPr>
              <w:pStyle w:val="Default"/>
              <w:jc w:val="both"/>
              <w:rPr>
                <w:rFonts w:asciiTheme="minorHAnsi" w:eastAsia="MS Gothic" w:hAnsiTheme="minorHAnsi"/>
                <w:color w:val="auto"/>
                <w:u w:val="single"/>
                <w:lang w:val="en-US"/>
              </w:rPr>
            </w:pPr>
            <w:r w:rsidRPr="00ED1C00">
              <w:rPr>
                <w:rFonts w:asciiTheme="minorHAnsi" w:eastAsia="MS Gothic" w:hAnsiTheme="minorHAnsi"/>
                <w:color w:val="auto"/>
                <w:u w:val="single"/>
                <w:lang w:val="en-US"/>
              </w:rPr>
              <w:t xml:space="preserve">Expert Group Meeting </w:t>
            </w:r>
          </w:p>
          <w:p w14:paraId="4E5F5ECC" w14:textId="7B09BFF3" w:rsidR="00ED1C00" w:rsidRPr="00ED1C00" w:rsidRDefault="00ED1C00" w:rsidP="0095351C">
            <w:pPr>
              <w:pStyle w:val="Default"/>
              <w:numPr>
                <w:ilvl w:val="0"/>
                <w:numId w:val="1"/>
              </w:numPr>
              <w:ind w:left="318" w:hanging="318"/>
              <w:jc w:val="both"/>
              <w:rPr>
                <w:rFonts w:asciiTheme="minorHAnsi" w:eastAsia="MS Gothic" w:hAnsiTheme="minorHAnsi"/>
                <w:color w:val="auto"/>
                <w:lang w:val="en-US"/>
              </w:rPr>
            </w:pPr>
            <w:r w:rsidRPr="00ED1C00">
              <w:rPr>
                <w:rFonts w:asciiTheme="minorHAnsi" w:eastAsia="MS Gothic" w:hAnsiTheme="minorHAnsi"/>
                <w:color w:val="auto"/>
                <w:lang w:val="en-US"/>
              </w:rPr>
              <w:t xml:space="preserve">The Expert Group Meeting shall be held </w:t>
            </w:r>
            <w:r w:rsidR="002016B6">
              <w:rPr>
                <w:rFonts w:asciiTheme="minorHAnsi" w:eastAsia="MS Gothic" w:hAnsiTheme="minorHAnsi"/>
                <w:color w:val="auto"/>
                <w:lang w:val="en-US"/>
              </w:rPr>
              <w:t xml:space="preserve">preferably twice but </w:t>
            </w:r>
            <w:r w:rsidRPr="00ED1C00">
              <w:rPr>
                <w:rFonts w:asciiTheme="minorHAnsi" w:eastAsia="MS Gothic" w:hAnsiTheme="minorHAnsi"/>
                <w:color w:val="auto"/>
                <w:lang w:val="en-US"/>
              </w:rPr>
              <w:t xml:space="preserve">at least once a year; </w:t>
            </w:r>
          </w:p>
          <w:p w14:paraId="3BC4A80E" w14:textId="49DBF9E7" w:rsidR="00ED1C00" w:rsidRDefault="00ED1C00" w:rsidP="0095351C">
            <w:pPr>
              <w:pStyle w:val="Default"/>
              <w:numPr>
                <w:ilvl w:val="0"/>
                <w:numId w:val="1"/>
              </w:numPr>
              <w:ind w:left="318" w:hanging="318"/>
              <w:jc w:val="both"/>
              <w:rPr>
                <w:rFonts w:asciiTheme="minorHAnsi" w:eastAsia="MS Gothic" w:hAnsiTheme="minorHAnsi"/>
                <w:color w:val="auto"/>
                <w:lang w:val="en-US"/>
              </w:rPr>
            </w:pPr>
            <w:r w:rsidRPr="00ED1C00">
              <w:rPr>
                <w:rFonts w:asciiTheme="minorHAnsi" w:eastAsia="MS Gothic" w:hAnsiTheme="minorHAnsi"/>
                <w:color w:val="auto"/>
                <w:lang w:val="en-US"/>
              </w:rPr>
              <w:lastRenderedPageBreak/>
              <w:t xml:space="preserve">The country for hosting the Expert Group Meeting shall be rotated between Asia and Europe, and shall be determined on voluntary basis after being approved by the Expert Group; </w:t>
            </w:r>
          </w:p>
          <w:p w14:paraId="170EF7C6" w14:textId="62C5D66D" w:rsidR="002A22E8" w:rsidRPr="00ED1C00" w:rsidRDefault="002A22E8" w:rsidP="0095351C">
            <w:pPr>
              <w:pStyle w:val="Default"/>
              <w:numPr>
                <w:ilvl w:val="0"/>
                <w:numId w:val="1"/>
              </w:numPr>
              <w:ind w:left="318" w:hanging="318"/>
              <w:jc w:val="both"/>
              <w:rPr>
                <w:rFonts w:asciiTheme="minorHAnsi" w:eastAsia="MS Gothic" w:hAnsiTheme="minorHAnsi"/>
                <w:color w:val="auto"/>
                <w:lang w:val="en-US"/>
              </w:rPr>
            </w:pPr>
            <w:r>
              <w:rPr>
                <w:rFonts w:asciiTheme="minorHAnsi" w:eastAsia="MS Gothic" w:hAnsiTheme="minorHAnsi"/>
                <w:color w:val="auto"/>
                <w:lang w:val="en-US"/>
              </w:rPr>
              <w:t>The Expert Group Meeting should preferably be announced at least 3 months in advance;</w:t>
            </w:r>
          </w:p>
          <w:p w14:paraId="026FE2CD" w14:textId="752602C5" w:rsidR="00ED1C00" w:rsidRDefault="00ED1C00" w:rsidP="0095351C">
            <w:pPr>
              <w:pStyle w:val="Default"/>
              <w:numPr>
                <w:ilvl w:val="0"/>
                <w:numId w:val="1"/>
              </w:numPr>
              <w:ind w:left="318" w:hanging="318"/>
              <w:jc w:val="both"/>
              <w:rPr>
                <w:rFonts w:asciiTheme="minorHAnsi" w:eastAsia="MS Gothic" w:hAnsiTheme="minorHAnsi"/>
                <w:color w:val="auto"/>
                <w:lang w:val="en-US"/>
              </w:rPr>
            </w:pPr>
            <w:r w:rsidRPr="00ED1C00">
              <w:rPr>
                <w:rFonts w:asciiTheme="minorHAnsi" w:eastAsia="MS Gothic" w:hAnsiTheme="minorHAnsi"/>
                <w:color w:val="auto"/>
                <w:lang w:val="en-US"/>
              </w:rPr>
              <w:t>The expenses of participating in Expert Group Meetings shall be in principle borne by th</w:t>
            </w:r>
            <w:r w:rsidR="002016B6">
              <w:rPr>
                <w:rFonts w:asciiTheme="minorHAnsi" w:eastAsia="MS Gothic" w:hAnsiTheme="minorHAnsi"/>
                <w:color w:val="auto"/>
                <w:lang w:val="en-US"/>
              </w:rPr>
              <w:t>e participants while the host</w:t>
            </w:r>
            <w:r w:rsidRPr="00ED1C00">
              <w:rPr>
                <w:rFonts w:asciiTheme="minorHAnsi" w:eastAsia="MS Gothic" w:hAnsiTheme="minorHAnsi"/>
                <w:color w:val="auto"/>
                <w:lang w:val="en-US"/>
              </w:rPr>
              <w:t xml:space="preserve"> country is encouraged to provide accommodation, necessary administrative supports, the arrangements of facilities</w:t>
            </w:r>
            <w:r w:rsidR="00784AD0">
              <w:rPr>
                <w:rFonts w:asciiTheme="minorHAnsi" w:eastAsia="MS Gothic" w:hAnsiTheme="minorHAnsi"/>
                <w:color w:val="auto"/>
                <w:lang w:val="en-US"/>
              </w:rPr>
              <w:t>, documentation and hospitality;</w:t>
            </w:r>
          </w:p>
          <w:p w14:paraId="677E6FDE" w14:textId="6522116E" w:rsidR="00784AD0" w:rsidRPr="00784AD0" w:rsidRDefault="00784AD0" w:rsidP="00784AD0">
            <w:pPr>
              <w:pStyle w:val="Lijstalinea"/>
              <w:numPr>
                <w:ilvl w:val="0"/>
                <w:numId w:val="1"/>
              </w:numPr>
              <w:autoSpaceDE w:val="0"/>
              <w:autoSpaceDN w:val="0"/>
              <w:adjustRightInd w:val="0"/>
              <w:ind w:left="318" w:hanging="284"/>
              <w:rPr>
                <w:sz w:val="24"/>
                <w:szCs w:val="24"/>
                <w:lang w:val="en-US"/>
              </w:rPr>
            </w:pPr>
            <w:r>
              <w:rPr>
                <w:sz w:val="24"/>
                <w:szCs w:val="24"/>
                <w:lang w:val="en-US"/>
              </w:rPr>
              <w:t>External experts shall</w:t>
            </w:r>
            <w:r w:rsidRPr="0000177F">
              <w:rPr>
                <w:sz w:val="24"/>
                <w:szCs w:val="24"/>
                <w:lang w:val="en-US"/>
              </w:rPr>
              <w:t xml:space="preserve"> be invited to participate, </w:t>
            </w:r>
            <w:r>
              <w:rPr>
                <w:sz w:val="24"/>
                <w:szCs w:val="24"/>
                <w:lang w:val="en-US"/>
              </w:rPr>
              <w:t>when necessary and appropriate.</w:t>
            </w:r>
          </w:p>
          <w:p w14:paraId="195C916A" w14:textId="77777777" w:rsidR="0000177F" w:rsidRPr="00ED1C00" w:rsidRDefault="0000177F" w:rsidP="0000177F">
            <w:pPr>
              <w:autoSpaceDE w:val="0"/>
              <w:autoSpaceDN w:val="0"/>
              <w:adjustRightInd w:val="0"/>
              <w:rPr>
                <w:sz w:val="24"/>
                <w:szCs w:val="24"/>
                <w:lang w:val="en-US"/>
              </w:rPr>
            </w:pPr>
          </w:p>
        </w:tc>
      </w:tr>
      <w:tr w:rsidR="00345E5E" w:rsidRPr="00BA5211" w14:paraId="791BAA60" w14:textId="77777777" w:rsidTr="00345E5E">
        <w:tc>
          <w:tcPr>
            <w:tcW w:w="9062" w:type="dxa"/>
          </w:tcPr>
          <w:p w14:paraId="25C07FF1" w14:textId="77777777" w:rsidR="0095351C" w:rsidRDefault="0000177F" w:rsidP="0095351C">
            <w:pPr>
              <w:autoSpaceDE w:val="0"/>
              <w:autoSpaceDN w:val="0"/>
              <w:adjustRightInd w:val="0"/>
              <w:rPr>
                <w:rFonts w:cs="Calibri-Bold"/>
                <w:b/>
                <w:bCs/>
                <w:sz w:val="24"/>
                <w:szCs w:val="24"/>
                <w:lang w:val="en-US"/>
              </w:rPr>
            </w:pPr>
            <w:r w:rsidRPr="0095351C">
              <w:rPr>
                <w:rFonts w:cs="Calibri-Bold"/>
                <w:b/>
                <w:bCs/>
                <w:sz w:val="24"/>
                <w:szCs w:val="24"/>
                <w:lang w:val="en-US"/>
              </w:rPr>
              <w:lastRenderedPageBreak/>
              <w:t xml:space="preserve">Specific </w:t>
            </w:r>
            <w:r w:rsidR="0095351C">
              <w:rPr>
                <w:rFonts w:cs="Calibri-Bold"/>
                <w:b/>
                <w:bCs/>
                <w:sz w:val="24"/>
                <w:szCs w:val="24"/>
                <w:lang w:val="en-US"/>
              </w:rPr>
              <w:t>tasks</w:t>
            </w:r>
          </w:p>
          <w:p w14:paraId="64F918AA" w14:textId="77777777" w:rsidR="00157773" w:rsidRDefault="00157773" w:rsidP="0095351C">
            <w:pPr>
              <w:autoSpaceDE w:val="0"/>
              <w:autoSpaceDN w:val="0"/>
              <w:adjustRightInd w:val="0"/>
              <w:rPr>
                <w:rFonts w:cs="Calibri-Bold"/>
                <w:b/>
                <w:bCs/>
                <w:sz w:val="24"/>
                <w:szCs w:val="24"/>
                <w:lang w:val="en-US"/>
              </w:rPr>
            </w:pPr>
          </w:p>
          <w:p w14:paraId="433422F9" w14:textId="77777777" w:rsidR="0091796A" w:rsidRPr="0095351C" w:rsidRDefault="0091796A" w:rsidP="0095351C">
            <w:pPr>
              <w:autoSpaceDE w:val="0"/>
              <w:autoSpaceDN w:val="0"/>
              <w:adjustRightInd w:val="0"/>
              <w:rPr>
                <w:rFonts w:cs="Calibri-Bold"/>
                <w:b/>
                <w:bCs/>
                <w:sz w:val="24"/>
                <w:szCs w:val="24"/>
                <w:lang w:val="en-US"/>
              </w:rPr>
            </w:pPr>
            <w:r w:rsidRPr="0095351C">
              <w:rPr>
                <w:rFonts w:eastAsia="MS Gothic"/>
                <w:sz w:val="24"/>
                <w:szCs w:val="24"/>
                <w:lang w:val="en-US"/>
              </w:rPr>
              <w:t xml:space="preserve">In line with the </w:t>
            </w:r>
            <w:r w:rsidRPr="0095351C">
              <w:rPr>
                <w:rFonts w:eastAsia="MS Gothic"/>
                <w:i/>
                <w:iCs/>
                <w:sz w:val="24"/>
                <w:szCs w:val="24"/>
                <w:lang w:val="en-US"/>
              </w:rPr>
              <w:t xml:space="preserve">Conclusions by the Chair </w:t>
            </w:r>
            <w:r w:rsidRPr="0095351C">
              <w:rPr>
                <w:rFonts w:eastAsia="MS Gothic"/>
                <w:sz w:val="24"/>
                <w:szCs w:val="24"/>
                <w:lang w:val="en-US"/>
              </w:rPr>
              <w:t>of the ASEMME5</w:t>
            </w:r>
            <w:r w:rsidR="0095351C">
              <w:rPr>
                <w:rFonts w:eastAsia="MS Gothic"/>
                <w:sz w:val="24"/>
                <w:szCs w:val="24"/>
                <w:lang w:val="en-US"/>
              </w:rPr>
              <w:t xml:space="preserve"> and ASEMME6</w:t>
            </w:r>
            <w:r w:rsidRPr="0095351C">
              <w:rPr>
                <w:rFonts w:eastAsia="MS Gothic"/>
                <w:sz w:val="24"/>
                <w:szCs w:val="24"/>
                <w:lang w:val="en-US"/>
              </w:rPr>
              <w:t xml:space="preserve">, the Expert Group should: </w:t>
            </w:r>
          </w:p>
          <w:p w14:paraId="422E95E8" w14:textId="2F73080C" w:rsidR="0091796A" w:rsidRPr="00A50647" w:rsidRDefault="0091796A" w:rsidP="0095351C">
            <w:pPr>
              <w:pStyle w:val="Default"/>
              <w:numPr>
                <w:ilvl w:val="0"/>
                <w:numId w:val="1"/>
              </w:numPr>
              <w:ind w:left="318" w:hanging="284"/>
              <w:jc w:val="both"/>
              <w:rPr>
                <w:rFonts w:asciiTheme="minorHAnsi" w:eastAsia="MS Gothic" w:hAnsiTheme="minorHAnsi"/>
                <w:color w:val="auto"/>
                <w:lang w:val="en-US"/>
              </w:rPr>
            </w:pPr>
            <w:r w:rsidRPr="0095351C">
              <w:rPr>
                <w:rFonts w:asciiTheme="minorHAnsi" w:eastAsia="MS Gothic" w:hAnsiTheme="minorHAnsi"/>
                <w:color w:val="auto"/>
                <w:lang w:val="en-US"/>
              </w:rPr>
              <w:t xml:space="preserve">identify the difficulties and challenges in interregional credit transfer mechanisms and learning outcomes systems among </w:t>
            </w:r>
            <w:r w:rsidRPr="00A50647">
              <w:rPr>
                <w:rFonts w:asciiTheme="minorHAnsi" w:eastAsia="MS Gothic" w:hAnsiTheme="minorHAnsi"/>
                <w:color w:val="auto"/>
                <w:lang w:val="en-US"/>
              </w:rPr>
              <w:t xml:space="preserve">the ASEM </w:t>
            </w:r>
            <w:r w:rsidR="00A50647" w:rsidRPr="00A50647">
              <w:rPr>
                <w:rFonts w:asciiTheme="minorHAnsi" w:eastAsia="MS Gothic" w:hAnsiTheme="minorHAnsi"/>
                <w:color w:val="auto"/>
                <w:lang w:val="en-US"/>
              </w:rPr>
              <w:t>partner</w:t>
            </w:r>
            <w:r w:rsidR="002016B6" w:rsidRPr="00A50647">
              <w:rPr>
                <w:rFonts w:asciiTheme="minorHAnsi" w:eastAsia="MS Gothic" w:hAnsiTheme="minorHAnsi"/>
                <w:color w:val="auto"/>
                <w:lang w:val="en-US"/>
              </w:rPr>
              <w:t xml:space="preserve"> countries</w:t>
            </w:r>
            <w:r w:rsidRPr="00A50647">
              <w:rPr>
                <w:rFonts w:asciiTheme="minorHAnsi" w:eastAsia="MS Gothic" w:hAnsiTheme="minorHAnsi"/>
                <w:color w:val="auto"/>
                <w:lang w:val="en-US"/>
              </w:rPr>
              <w:t xml:space="preserve">; </w:t>
            </w:r>
          </w:p>
          <w:p w14:paraId="1039AAE5" w14:textId="6720DADF" w:rsidR="0091796A" w:rsidRPr="00A50647" w:rsidRDefault="0091796A" w:rsidP="0095351C">
            <w:pPr>
              <w:pStyle w:val="Default"/>
              <w:numPr>
                <w:ilvl w:val="0"/>
                <w:numId w:val="1"/>
              </w:numPr>
              <w:ind w:left="318" w:hanging="284"/>
              <w:jc w:val="both"/>
              <w:rPr>
                <w:rFonts w:asciiTheme="minorHAnsi" w:eastAsia="MS Gothic" w:hAnsiTheme="minorHAnsi"/>
                <w:color w:val="auto"/>
                <w:lang w:val="en-US"/>
              </w:rPr>
            </w:pPr>
            <w:r w:rsidRPr="0095351C">
              <w:rPr>
                <w:rFonts w:asciiTheme="minorHAnsi" w:eastAsia="MS Gothic" w:hAnsiTheme="minorHAnsi"/>
                <w:color w:val="auto"/>
                <w:lang w:val="en-US"/>
              </w:rPr>
              <w:t xml:space="preserve">propose and support policy implementation and action plans to promote interregional credit transfer mechanisms and learning outcomes systems among </w:t>
            </w:r>
            <w:r w:rsidRPr="00A50647">
              <w:rPr>
                <w:rFonts w:asciiTheme="minorHAnsi" w:hAnsiTheme="minorHAnsi"/>
                <w:color w:val="auto"/>
                <w:lang w:val="en-US"/>
              </w:rPr>
              <w:t xml:space="preserve">the ASEM </w:t>
            </w:r>
            <w:r w:rsidR="00A50647" w:rsidRPr="00A50647">
              <w:rPr>
                <w:rFonts w:asciiTheme="minorHAnsi" w:hAnsiTheme="minorHAnsi"/>
                <w:color w:val="auto"/>
                <w:lang w:val="en-US"/>
              </w:rPr>
              <w:t>partner</w:t>
            </w:r>
            <w:r w:rsidRPr="00A50647">
              <w:rPr>
                <w:rFonts w:asciiTheme="minorHAnsi" w:hAnsiTheme="minorHAnsi"/>
                <w:color w:val="auto"/>
                <w:lang w:val="en-US"/>
              </w:rPr>
              <w:t xml:space="preserve"> count</w:t>
            </w:r>
            <w:r w:rsidR="002016B6" w:rsidRPr="00A50647">
              <w:rPr>
                <w:rFonts w:asciiTheme="minorHAnsi" w:hAnsiTheme="minorHAnsi"/>
                <w:color w:val="auto"/>
                <w:lang w:val="en-US"/>
              </w:rPr>
              <w:t>r</w:t>
            </w:r>
            <w:r w:rsidRPr="00A50647">
              <w:rPr>
                <w:rFonts w:asciiTheme="minorHAnsi" w:hAnsiTheme="minorHAnsi"/>
                <w:color w:val="auto"/>
                <w:lang w:val="en-US"/>
              </w:rPr>
              <w:t xml:space="preserve">ies; </w:t>
            </w:r>
          </w:p>
          <w:p w14:paraId="0F5DBCDB" w14:textId="0F91D5E3" w:rsidR="0091796A" w:rsidRDefault="0091796A" w:rsidP="0095351C">
            <w:pPr>
              <w:pStyle w:val="Default"/>
              <w:numPr>
                <w:ilvl w:val="0"/>
                <w:numId w:val="1"/>
              </w:numPr>
              <w:ind w:left="318" w:hanging="284"/>
              <w:jc w:val="both"/>
              <w:rPr>
                <w:rFonts w:asciiTheme="minorHAnsi" w:hAnsiTheme="minorHAnsi"/>
                <w:color w:val="auto"/>
                <w:lang w:val="en-US"/>
              </w:rPr>
            </w:pPr>
            <w:r w:rsidRPr="0095351C">
              <w:rPr>
                <w:rFonts w:asciiTheme="minorHAnsi" w:hAnsiTheme="minorHAnsi"/>
                <w:color w:val="auto"/>
                <w:lang w:val="en-US"/>
              </w:rPr>
              <w:t>share information of typical cases and current good practices on interregional credit transfer mechanisms and learning outcome systems, collaborating with regional and international organizations, in order to push forward the goal of realizing credit transfer and recognition of learning outcome</w:t>
            </w:r>
            <w:r w:rsidR="002016B6">
              <w:rPr>
                <w:rFonts w:asciiTheme="minorHAnsi" w:hAnsiTheme="minorHAnsi"/>
                <w:color w:val="auto"/>
                <w:lang w:val="en-US"/>
              </w:rPr>
              <w:t>s</w:t>
            </w:r>
            <w:r w:rsidRPr="0095351C">
              <w:rPr>
                <w:rFonts w:asciiTheme="minorHAnsi" w:hAnsiTheme="minorHAnsi"/>
                <w:color w:val="auto"/>
                <w:lang w:val="en-US"/>
              </w:rPr>
              <w:t xml:space="preserve"> on a global scale; </w:t>
            </w:r>
          </w:p>
          <w:p w14:paraId="1A22D0BD" w14:textId="65D1EAE1" w:rsidR="00345E5E" w:rsidRDefault="0095351C" w:rsidP="00157773">
            <w:pPr>
              <w:pStyle w:val="Default"/>
              <w:numPr>
                <w:ilvl w:val="0"/>
                <w:numId w:val="1"/>
              </w:numPr>
              <w:ind w:left="318" w:hanging="284"/>
              <w:jc w:val="both"/>
              <w:rPr>
                <w:rFonts w:asciiTheme="minorHAnsi" w:hAnsiTheme="minorHAnsi"/>
                <w:color w:val="auto"/>
                <w:lang w:val="en-US"/>
              </w:rPr>
            </w:pPr>
            <w:r>
              <w:rPr>
                <w:rFonts w:asciiTheme="minorHAnsi" w:hAnsiTheme="minorHAnsi"/>
                <w:color w:val="auto"/>
                <w:lang w:val="en-US"/>
              </w:rPr>
              <w:t>revise</w:t>
            </w:r>
            <w:r w:rsidRPr="0095351C">
              <w:rPr>
                <w:rFonts w:asciiTheme="minorHAnsi" w:hAnsiTheme="minorHAnsi"/>
                <w:color w:val="auto"/>
                <w:lang w:val="en-US"/>
              </w:rPr>
              <w:t xml:space="preserve"> the ‘</w:t>
            </w:r>
            <w:r w:rsidR="00157773" w:rsidRPr="00157773">
              <w:rPr>
                <w:rFonts w:asciiTheme="minorHAnsi" w:hAnsiTheme="minorHAnsi"/>
                <w:color w:val="auto"/>
                <w:lang w:val="en-US"/>
              </w:rPr>
              <w:t xml:space="preserve">Compendium on Credit Systems and Learning Outcomes in </w:t>
            </w:r>
            <w:r w:rsidR="00157773" w:rsidRPr="00A50647">
              <w:rPr>
                <w:rFonts w:asciiTheme="minorHAnsi" w:hAnsiTheme="minorHAnsi"/>
                <w:color w:val="auto"/>
                <w:lang w:val="en-US"/>
              </w:rPr>
              <w:t xml:space="preserve">ASEM </w:t>
            </w:r>
            <w:r w:rsidR="00A50647" w:rsidRPr="00A50647">
              <w:rPr>
                <w:rFonts w:asciiTheme="minorHAnsi" w:hAnsiTheme="minorHAnsi"/>
                <w:color w:val="auto"/>
                <w:lang w:val="en-US"/>
              </w:rPr>
              <w:t>partner</w:t>
            </w:r>
            <w:r w:rsidR="00157773" w:rsidRPr="00A50647">
              <w:rPr>
                <w:rFonts w:asciiTheme="minorHAnsi" w:hAnsiTheme="minorHAnsi"/>
                <w:color w:val="auto"/>
                <w:lang w:val="en-US"/>
              </w:rPr>
              <w:t xml:space="preserve"> countries’ </w:t>
            </w:r>
            <w:r w:rsidRPr="00A50647">
              <w:rPr>
                <w:rFonts w:asciiTheme="minorHAnsi" w:hAnsiTheme="minorHAnsi"/>
                <w:color w:val="auto"/>
                <w:lang w:val="en-US"/>
              </w:rPr>
              <w:t>with</w:t>
            </w:r>
            <w:r w:rsidRPr="0095351C">
              <w:rPr>
                <w:rFonts w:asciiTheme="minorHAnsi" w:hAnsiTheme="minorHAnsi"/>
                <w:color w:val="auto"/>
                <w:lang w:val="en-US"/>
              </w:rPr>
              <w:t xml:space="preserve"> the support and</w:t>
            </w:r>
            <w:r>
              <w:rPr>
                <w:rFonts w:asciiTheme="minorHAnsi" w:hAnsiTheme="minorHAnsi"/>
                <w:color w:val="auto"/>
                <w:lang w:val="en-US"/>
              </w:rPr>
              <w:t xml:space="preserve"> </w:t>
            </w:r>
            <w:r w:rsidRPr="00A50647">
              <w:rPr>
                <w:rFonts w:asciiTheme="minorHAnsi" w:hAnsiTheme="minorHAnsi"/>
                <w:color w:val="auto"/>
                <w:lang w:val="en-US"/>
              </w:rPr>
              <w:t xml:space="preserve">contribution of all ASEM </w:t>
            </w:r>
            <w:r w:rsidR="00A50647" w:rsidRPr="00A50647">
              <w:rPr>
                <w:rFonts w:asciiTheme="minorHAnsi" w:hAnsiTheme="minorHAnsi"/>
                <w:color w:val="auto"/>
                <w:lang w:val="en-US"/>
              </w:rPr>
              <w:t>partners</w:t>
            </w:r>
            <w:r w:rsidRPr="00A50647">
              <w:rPr>
                <w:rFonts w:asciiTheme="minorHAnsi" w:hAnsiTheme="minorHAnsi"/>
                <w:color w:val="auto"/>
                <w:lang w:val="en-US"/>
              </w:rPr>
              <w:t xml:space="preserve"> to enhance the applicability and user-friendliness of this tool to further facilitate interregional</w:t>
            </w:r>
            <w:r w:rsidRPr="0095351C">
              <w:rPr>
                <w:rFonts w:asciiTheme="minorHAnsi" w:hAnsiTheme="minorHAnsi"/>
                <w:color w:val="auto"/>
                <w:lang w:val="en-US"/>
              </w:rPr>
              <w:t xml:space="preserve"> mobility and cooperation.</w:t>
            </w:r>
          </w:p>
          <w:p w14:paraId="44AE9875" w14:textId="77777777" w:rsidR="001271A2" w:rsidRPr="0095351C" w:rsidRDefault="001271A2" w:rsidP="001271A2">
            <w:pPr>
              <w:pStyle w:val="Default"/>
              <w:ind w:left="318"/>
              <w:jc w:val="both"/>
              <w:rPr>
                <w:rFonts w:asciiTheme="minorHAnsi" w:hAnsiTheme="minorHAnsi"/>
                <w:color w:val="auto"/>
                <w:lang w:val="en-US"/>
              </w:rPr>
            </w:pPr>
          </w:p>
        </w:tc>
      </w:tr>
      <w:tr w:rsidR="00345E5E" w:rsidRPr="00BA5211" w14:paraId="5C6AC181" w14:textId="77777777" w:rsidTr="00345E5E">
        <w:tc>
          <w:tcPr>
            <w:tcW w:w="9062" w:type="dxa"/>
          </w:tcPr>
          <w:p w14:paraId="356417F7" w14:textId="77777777" w:rsidR="0091796A" w:rsidRDefault="0091796A" w:rsidP="0091796A">
            <w:pPr>
              <w:pStyle w:val="Default"/>
              <w:jc w:val="both"/>
              <w:rPr>
                <w:rFonts w:asciiTheme="minorHAnsi" w:hAnsiTheme="minorHAnsi"/>
                <w:b/>
                <w:color w:val="auto"/>
                <w:lang w:val="en-US"/>
              </w:rPr>
            </w:pPr>
            <w:r w:rsidRPr="0095351C">
              <w:rPr>
                <w:rFonts w:asciiTheme="minorHAnsi" w:hAnsiTheme="minorHAnsi"/>
                <w:b/>
                <w:color w:val="auto"/>
                <w:lang w:val="en-US"/>
              </w:rPr>
              <w:t xml:space="preserve">Other matters </w:t>
            </w:r>
          </w:p>
          <w:p w14:paraId="5BF83891" w14:textId="77777777" w:rsidR="00157773" w:rsidRPr="0095351C" w:rsidRDefault="00157773" w:rsidP="0091796A">
            <w:pPr>
              <w:pStyle w:val="Default"/>
              <w:jc w:val="both"/>
              <w:rPr>
                <w:rFonts w:asciiTheme="minorHAnsi" w:hAnsiTheme="minorHAnsi"/>
                <w:b/>
                <w:color w:val="auto"/>
                <w:lang w:val="en-US"/>
              </w:rPr>
            </w:pPr>
          </w:p>
          <w:p w14:paraId="3E3F021F" w14:textId="77777777" w:rsidR="00345E5E" w:rsidRDefault="0095351C" w:rsidP="00157773">
            <w:pPr>
              <w:pStyle w:val="Default"/>
              <w:jc w:val="both"/>
              <w:rPr>
                <w:rFonts w:asciiTheme="minorHAnsi" w:hAnsiTheme="minorHAnsi"/>
                <w:color w:val="auto"/>
                <w:lang w:val="en-US"/>
              </w:rPr>
            </w:pPr>
            <w:r w:rsidRPr="0095351C">
              <w:rPr>
                <w:rFonts w:asciiTheme="minorHAnsi" w:hAnsiTheme="minorHAnsi"/>
                <w:color w:val="auto"/>
                <w:lang w:val="en-US"/>
              </w:rPr>
              <w:t xml:space="preserve">The Terms of Reference shall be reviewed regularly and amended accordingly if/when consensus is reached by the Expert Group. </w:t>
            </w:r>
          </w:p>
          <w:p w14:paraId="5C9F0AB6" w14:textId="02A63B56" w:rsidR="005659CE" w:rsidRPr="00157773" w:rsidRDefault="005659CE" w:rsidP="00157773">
            <w:pPr>
              <w:pStyle w:val="Default"/>
              <w:jc w:val="both"/>
              <w:rPr>
                <w:rFonts w:asciiTheme="minorHAnsi" w:hAnsiTheme="minorHAnsi"/>
                <w:color w:val="auto"/>
                <w:lang w:val="en-US"/>
              </w:rPr>
            </w:pPr>
          </w:p>
        </w:tc>
      </w:tr>
    </w:tbl>
    <w:p w14:paraId="068E6675" w14:textId="77777777" w:rsidR="00157773" w:rsidRDefault="00157773" w:rsidP="00157773">
      <w:pPr>
        <w:pStyle w:val="Default"/>
        <w:jc w:val="center"/>
        <w:rPr>
          <w:b/>
          <w:bCs/>
          <w:sz w:val="28"/>
          <w:szCs w:val="28"/>
          <w:lang w:val="en-US"/>
        </w:rPr>
      </w:pPr>
    </w:p>
    <w:p w14:paraId="1FFD3BE5" w14:textId="77777777" w:rsidR="00157773" w:rsidRDefault="00157773">
      <w:pPr>
        <w:rPr>
          <w:rFonts w:ascii="Times New Roman" w:hAnsi="Times New Roman" w:cs="Times New Roman"/>
          <w:b/>
          <w:bCs/>
          <w:color w:val="000000"/>
          <w:sz w:val="28"/>
          <w:szCs w:val="28"/>
          <w:lang w:val="en-US"/>
        </w:rPr>
      </w:pPr>
      <w:r>
        <w:rPr>
          <w:b/>
          <w:bCs/>
          <w:sz w:val="28"/>
          <w:szCs w:val="28"/>
          <w:lang w:val="en-US"/>
        </w:rPr>
        <w:br w:type="page"/>
      </w:r>
    </w:p>
    <w:p w14:paraId="50EF8C2B" w14:textId="77777777" w:rsidR="00157773" w:rsidRPr="00C21DA1" w:rsidRDefault="00157773" w:rsidP="00157773">
      <w:pPr>
        <w:pStyle w:val="Default"/>
        <w:jc w:val="center"/>
        <w:rPr>
          <w:rFonts w:asciiTheme="minorHAnsi" w:hAnsiTheme="minorHAnsi"/>
          <w:b/>
          <w:bCs/>
          <w:sz w:val="40"/>
          <w:szCs w:val="40"/>
          <w:lang w:val="en-US"/>
        </w:rPr>
      </w:pPr>
      <w:r w:rsidRPr="00C21DA1">
        <w:rPr>
          <w:rFonts w:asciiTheme="minorHAnsi" w:hAnsiTheme="minorHAnsi"/>
          <w:b/>
          <w:bCs/>
          <w:sz w:val="40"/>
          <w:szCs w:val="40"/>
          <w:lang w:val="en-US"/>
        </w:rPr>
        <w:lastRenderedPageBreak/>
        <w:t xml:space="preserve">ASEM Expert Group on Interregional Credit Transfer Mechanisms and Learning Outcome Systems </w:t>
      </w:r>
    </w:p>
    <w:p w14:paraId="10E12E82" w14:textId="77777777" w:rsidR="00157773" w:rsidRPr="00C21DA1" w:rsidRDefault="00157773" w:rsidP="00157773">
      <w:pPr>
        <w:pStyle w:val="Default"/>
        <w:jc w:val="center"/>
        <w:rPr>
          <w:rFonts w:asciiTheme="minorHAnsi" w:hAnsiTheme="minorHAnsi"/>
          <w:sz w:val="40"/>
          <w:szCs w:val="40"/>
          <w:lang w:val="en-US"/>
        </w:rPr>
      </w:pPr>
    </w:p>
    <w:p w14:paraId="29C1DF62" w14:textId="77777777" w:rsidR="00157773" w:rsidRPr="00C21DA1" w:rsidRDefault="00157773" w:rsidP="00157773">
      <w:pPr>
        <w:pStyle w:val="Default"/>
        <w:jc w:val="center"/>
        <w:rPr>
          <w:rFonts w:asciiTheme="minorHAnsi" w:hAnsiTheme="minorHAnsi" w:cs="Impact"/>
          <w:sz w:val="40"/>
          <w:szCs w:val="40"/>
          <w:lang w:val="en-US"/>
        </w:rPr>
      </w:pPr>
      <w:r w:rsidRPr="00C21DA1">
        <w:rPr>
          <w:rFonts w:asciiTheme="minorHAnsi" w:hAnsiTheme="minorHAnsi" w:cs="Impact"/>
          <w:sz w:val="40"/>
          <w:szCs w:val="40"/>
          <w:lang w:val="en-US"/>
        </w:rPr>
        <w:t xml:space="preserve">Working </w:t>
      </w:r>
      <w:proofErr w:type="spellStart"/>
      <w:r w:rsidRPr="00C21DA1">
        <w:rPr>
          <w:rFonts w:asciiTheme="minorHAnsi" w:hAnsiTheme="minorHAnsi" w:cs="Impact"/>
          <w:sz w:val="40"/>
          <w:szCs w:val="40"/>
          <w:lang w:val="en-US"/>
        </w:rPr>
        <w:t>programme</w:t>
      </w:r>
      <w:proofErr w:type="spellEnd"/>
      <w:r w:rsidRPr="00C21DA1">
        <w:rPr>
          <w:rFonts w:asciiTheme="minorHAnsi" w:hAnsiTheme="minorHAnsi" w:cs="Impact"/>
          <w:sz w:val="40"/>
          <w:szCs w:val="40"/>
          <w:lang w:val="en-US"/>
        </w:rPr>
        <w:t xml:space="preserve"> 2018-2019</w:t>
      </w:r>
    </w:p>
    <w:p w14:paraId="0DA3883F" w14:textId="77777777" w:rsidR="00157773" w:rsidRPr="00916952" w:rsidRDefault="00157773" w:rsidP="00157773">
      <w:pPr>
        <w:pStyle w:val="Default"/>
        <w:jc w:val="center"/>
        <w:rPr>
          <w:rFonts w:ascii="Impact" w:hAnsi="Impact" w:cs="Impact"/>
          <w:sz w:val="40"/>
          <w:szCs w:val="40"/>
          <w:lang w:val="en-US"/>
        </w:rPr>
      </w:pPr>
    </w:p>
    <w:tbl>
      <w:tblPr>
        <w:tblStyle w:val="Tabelraster"/>
        <w:tblW w:w="0" w:type="auto"/>
        <w:tblLook w:val="04A0" w:firstRow="1" w:lastRow="0" w:firstColumn="1" w:lastColumn="0" w:noHBand="0" w:noVBand="1"/>
      </w:tblPr>
      <w:tblGrid>
        <w:gridCol w:w="9062"/>
      </w:tblGrid>
      <w:tr w:rsidR="00157773" w:rsidRPr="00BA5211" w14:paraId="7BCC5149" w14:textId="77777777" w:rsidTr="00D33D22">
        <w:tc>
          <w:tcPr>
            <w:tcW w:w="9062" w:type="dxa"/>
          </w:tcPr>
          <w:p w14:paraId="55AEA3F7" w14:textId="77777777" w:rsidR="00157773" w:rsidRPr="00345E5E" w:rsidRDefault="00157773" w:rsidP="00D33D22">
            <w:pPr>
              <w:autoSpaceDE w:val="0"/>
              <w:autoSpaceDN w:val="0"/>
              <w:adjustRightInd w:val="0"/>
              <w:rPr>
                <w:rFonts w:cs="Calibri-Bold"/>
                <w:b/>
                <w:bCs/>
                <w:sz w:val="24"/>
                <w:szCs w:val="24"/>
                <w:lang w:val="en-US"/>
              </w:rPr>
            </w:pPr>
            <w:r w:rsidRPr="00345E5E">
              <w:rPr>
                <w:rFonts w:cs="Calibri-Bold"/>
                <w:b/>
                <w:bCs/>
                <w:sz w:val="24"/>
                <w:szCs w:val="24"/>
                <w:lang w:val="en-US"/>
              </w:rPr>
              <w:t xml:space="preserve">Name of the </w:t>
            </w:r>
            <w:r>
              <w:rPr>
                <w:rFonts w:cs="Calibri-Bold"/>
                <w:b/>
                <w:bCs/>
                <w:sz w:val="24"/>
                <w:szCs w:val="24"/>
                <w:lang w:val="en-US"/>
              </w:rPr>
              <w:t>Expert</w:t>
            </w:r>
            <w:r w:rsidRPr="00345E5E">
              <w:rPr>
                <w:rFonts w:cs="Calibri-Bold"/>
                <w:b/>
                <w:bCs/>
                <w:sz w:val="24"/>
                <w:szCs w:val="24"/>
                <w:lang w:val="en-US"/>
              </w:rPr>
              <w:t xml:space="preserve"> Group</w:t>
            </w:r>
          </w:p>
          <w:p w14:paraId="27D514B9" w14:textId="77777777" w:rsidR="00157773" w:rsidRPr="00345E5E" w:rsidRDefault="00157773" w:rsidP="00D33D22">
            <w:pPr>
              <w:pStyle w:val="Default"/>
              <w:rPr>
                <w:rFonts w:asciiTheme="minorHAnsi" w:hAnsiTheme="minorHAnsi"/>
                <w:bCs/>
                <w:lang w:val="en-US"/>
              </w:rPr>
            </w:pPr>
            <w:r w:rsidRPr="00345E5E">
              <w:rPr>
                <w:rFonts w:asciiTheme="minorHAnsi" w:hAnsiTheme="minorHAnsi"/>
                <w:bCs/>
                <w:lang w:val="en-US"/>
              </w:rPr>
              <w:t xml:space="preserve">ASEM Expert Group on Interregional Credit Transfer Mechanisms and Learning Outcome Systems </w:t>
            </w:r>
          </w:p>
          <w:p w14:paraId="3488B674" w14:textId="77777777" w:rsidR="00157773" w:rsidRPr="00345E5E" w:rsidRDefault="00157773" w:rsidP="00D33D22">
            <w:pPr>
              <w:rPr>
                <w:sz w:val="24"/>
                <w:szCs w:val="24"/>
                <w:lang w:val="en-US"/>
              </w:rPr>
            </w:pPr>
          </w:p>
        </w:tc>
      </w:tr>
      <w:tr w:rsidR="00157773" w:rsidRPr="00BA5211" w14:paraId="2508DFA0" w14:textId="77777777" w:rsidTr="00D33D22">
        <w:tc>
          <w:tcPr>
            <w:tcW w:w="9062" w:type="dxa"/>
          </w:tcPr>
          <w:p w14:paraId="685752DB" w14:textId="77777777" w:rsidR="00157773" w:rsidRPr="00157773" w:rsidRDefault="00157773" w:rsidP="00D33D22">
            <w:pPr>
              <w:rPr>
                <w:b/>
                <w:sz w:val="24"/>
                <w:szCs w:val="24"/>
                <w:lang w:val="en-US"/>
              </w:rPr>
            </w:pPr>
            <w:r>
              <w:rPr>
                <w:b/>
                <w:sz w:val="24"/>
                <w:szCs w:val="24"/>
                <w:lang w:val="en-US"/>
              </w:rPr>
              <w:t>Activities</w:t>
            </w:r>
          </w:p>
          <w:p w14:paraId="791286C7" w14:textId="77777777" w:rsidR="00157773" w:rsidRPr="009B2636" w:rsidRDefault="00157773" w:rsidP="00157773">
            <w:pPr>
              <w:numPr>
                <w:ilvl w:val="0"/>
                <w:numId w:val="1"/>
              </w:numPr>
              <w:rPr>
                <w:rFonts w:cs="Arial"/>
                <w:color w:val="212121"/>
                <w:sz w:val="24"/>
                <w:szCs w:val="24"/>
                <w:lang w:val="en-US"/>
              </w:rPr>
            </w:pPr>
            <w:r w:rsidRPr="00157773">
              <w:rPr>
                <w:rFonts w:cs="Arial"/>
                <w:color w:val="212121"/>
                <w:sz w:val="24"/>
                <w:szCs w:val="24"/>
                <w:lang w:val="en-US"/>
              </w:rPr>
              <w:t>R</w:t>
            </w:r>
            <w:r w:rsidRPr="009B2636">
              <w:rPr>
                <w:rFonts w:cs="Arial"/>
                <w:color w:val="212121"/>
                <w:sz w:val="24"/>
                <w:szCs w:val="24"/>
                <w:lang w:val="en-US"/>
              </w:rPr>
              <w:t>eview the ‘Terms of Reference’ for the future work of the expert group;</w:t>
            </w:r>
          </w:p>
          <w:p w14:paraId="56C97DB9" w14:textId="0A818040" w:rsidR="00157773" w:rsidRPr="00A50647" w:rsidRDefault="00157773" w:rsidP="00157773">
            <w:pPr>
              <w:pStyle w:val="Lijstalinea"/>
              <w:numPr>
                <w:ilvl w:val="0"/>
                <w:numId w:val="1"/>
              </w:numPr>
              <w:rPr>
                <w:rFonts w:cs="Arial"/>
                <w:color w:val="212121"/>
                <w:sz w:val="24"/>
                <w:szCs w:val="24"/>
                <w:lang w:val="en-US"/>
              </w:rPr>
            </w:pPr>
            <w:r w:rsidRPr="00157773">
              <w:rPr>
                <w:sz w:val="24"/>
                <w:szCs w:val="24"/>
                <w:lang w:val="en-US"/>
              </w:rPr>
              <w:t>Revise the ‘</w:t>
            </w:r>
            <w:r w:rsidRPr="009B2636">
              <w:rPr>
                <w:rFonts w:cs="Arial"/>
                <w:color w:val="212121"/>
                <w:sz w:val="24"/>
                <w:szCs w:val="24"/>
                <w:lang w:val="en-US"/>
              </w:rPr>
              <w:t xml:space="preserve">Compendium on Credit </w:t>
            </w:r>
            <w:r w:rsidRPr="00A50647">
              <w:rPr>
                <w:rFonts w:cs="Arial"/>
                <w:color w:val="212121"/>
                <w:sz w:val="24"/>
                <w:szCs w:val="24"/>
                <w:lang w:val="en-US"/>
              </w:rPr>
              <w:t xml:space="preserve">Systems and Learning Outcomes in ASEM </w:t>
            </w:r>
            <w:r w:rsidR="00A50647" w:rsidRPr="00A50647">
              <w:rPr>
                <w:rFonts w:cs="Arial"/>
                <w:color w:val="212121"/>
                <w:sz w:val="24"/>
                <w:szCs w:val="24"/>
                <w:lang w:val="en-US"/>
              </w:rPr>
              <w:t>partner</w:t>
            </w:r>
            <w:r w:rsidRPr="00A50647">
              <w:rPr>
                <w:rFonts w:cs="Arial"/>
                <w:color w:val="212121"/>
                <w:sz w:val="24"/>
                <w:szCs w:val="24"/>
                <w:lang w:val="en-US"/>
              </w:rPr>
              <w:t xml:space="preserve"> countries’:</w:t>
            </w:r>
          </w:p>
          <w:p w14:paraId="0AE8FEBF" w14:textId="77777777" w:rsidR="00157773" w:rsidRPr="00157773" w:rsidRDefault="00157773" w:rsidP="00157773">
            <w:pPr>
              <w:pStyle w:val="Lijstalinea"/>
              <w:numPr>
                <w:ilvl w:val="1"/>
                <w:numId w:val="1"/>
              </w:numPr>
              <w:rPr>
                <w:rFonts w:cs="Arial"/>
                <w:color w:val="212121"/>
                <w:sz w:val="24"/>
                <w:szCs w:val="24"/>
              </w:rPr>
            </w:pPr>
            <w:r>
              <w:rPr>
                <w:rFonts w:cs="Arial"/>
                <w:color w:val="212121"/>
                <w:sz w:val="24"/>
                <w:szCs w:val="24"/>
              </w:rPr>
              <w:t>R</w:t>
            </w:r>
            <w:r w:rsidRPr="00157773">
              <w:rPr>
                <w:rFonts w:cs="Arial"/>
                <w:color w:val="212121"/>
                <w:sz w:val="24"/>
                <w:szCs w:val="24"/>
              </w:rPr>
              <w:t>eview the existing template;</w:t>
            </w:r>
          </w:p>
          <w:p w14:paraId="2781A561" w14:textId="77777777" w:rsidR="00157773" w:rsidRPr="009B2636" w:rsidRDefault="00157773" w:rsidP="00157773">
            <w:pPr>
              <w:pStyle w:val="Lijstalinea"/>
              <w:numPr>
                <w:ilvl w:val="1"/>
                <w:numId w:val="1"/>
              </w:numPr>
              <w:rPr>
                <w:rFonts w:cs="Arial"/>
                <w:color w:val="212121"/>
                <w:sz w:val="24"/>
                <w:szCs w:val="24"/>
                <w:lang w:val="en-US"/>
              </w:rPr>
            </w:pPr>
            <w:r w:rsidRPr="009B2636">
              <w:rPr>
                <w:rFonts w:cs="Arial"/>
                <w:color w:val="212121"/>
                <w:sz w:val="24"/>
                <w:szCs w:val="24"/>
                <w:lang w:val="en-US"/>
              </w:rPr>
              <w:t>Specify in the introduction the main goal and target group of the compendium;</w:t>
            </w:r>
          </w:p>
          <w:p w14:paraId="33B2325C" w14:textId="77777777" w:rsidR="00157773" w:rsidRPr="009B2636" w:rsidRDefault="00157773" w:rsidP="00157773">
            <w:pPr>
              <w:pStyle w:val="Lijstalinea"/>
              <w:numPr>
                <w:ilvl w:val="1"/>
                <w:numId w:val="1"/>
              </w:numPr>
              <w:rPr>
                <w:rFonts w:cs="Arial"/>
                <w:color w:val="212121"/>
                <w:sz w:val="24"/>
                <w:szCs w:val="24"/>
                <w:lang w:val="en-US"/>
              </w:rPr>
            </w:pPr>
            <w:r w:rsidRPr="009B2636">
              <w:rPr>
                <w:rFonts w:cs="Arial"/>
                <w:color w:val="212121"/>
                <w:sz w:val="24"/>
                <w:szCs w:val="24"/>
                <w:lang w:val="en-US"/>
              </w:rPr>
              <w:t>Compile a glossary of all template related terms;</w:t>
            </w:r>
          </w:p>
          <w:p w14:paraId="5642CF22" w14:textId="12701AA8" w:rsidR="00157773" w:rsidRPr="00A50647" w:rsidRDefault="00157773" w:rsidP="00157773">
            <w:pPr>
              <w:numPr>
                <w:ilvl w:val="1"/>
                <w:numId w:val="1"/>
              </w:numPr>
              <w:rPr>
                <w:rFonts w:cs="Arial"/>
                <w:color w:val="212121"/>
                <w:sz w:val="24"/>
                <w:szCs w:val="24"/>
                <w:lang w:val="en-US"/>
              </w:rPr>
            </w:pPr>
            <w:r w:rsidRPr="009B2636">
              <w:rPr>
                <w:rFonts w:cs="Arial"/>
                <w:color w:val="212121"/>
                <w:sz w:val="24"/>
                <w:szCs w:val="24"/>
                <w:lang w:val="en-US"/>
              </w:rPr>
              <w:t xml:space="preserve">Prepare an online tool to gather the </w:t>
            </w:r>
            <w:r w:rsidRPr="00A50647">
              <w:rPr>
                <w:rFonts w:cs="Arial"/>
                <w:color w:val="212121"/>
                <w:sz w:val="24"/>
                <w:szCs w:val="24"/>
                <w:lang w:val="en-US"/>
              </w:rPr>
              <w:t>input of all ASEM partner</w:t>
            </w:r>
            <w:r w:rsidR="00A50647" w:rsidRPr="00A50647">
              <w:rPr>
                <w:rFonts w:cs="Arial"/>
                <w:color w:val="212121"/>
                <w:sz w:val="24"/>
                <w:szCs w:val="24"/>
                <w:lang w:val="en-US"/>
              </w:rPr>
              <w:t xml:space="preserve"> countrie</w:t>
            </w:r>
            <w:r w:rsidRPr="00A50647">
              <w:rPr>
                <w:rFonts w:cs="Arial"/>
                <w:color w:val="212121"/>
                <w:sz w:val="24"/>
                <w:szCs w:val="24"/>
                <w:lang w:val="en-US"/>
              </w:rPr>
              <w:t>s;</w:t>
            </w:r>
          </w:p>
          <w:p w14:paraId="5C1131C7" w14:textId="77777777" w:rsidR="00157773" w:rsidRPr="009B2636" w:rsidRDefault="00157773" w:rsidP="00157773">
            <w:pPr>
              <w:numPr>
                <w:ilvl w:val="1"/>
                <w:numId w:val="1"/>
              </w:numPr>
              <w:rPr>
                <w:rFonts w:cs="Arial"/>
                <w:color w:val="212121"/>
                <w:sz w:val="24"/>
                <w:szCs w:val="24"/>
                <w:lang w:val="en-US"/>
              </w:rPr>
            </w:pPr>
            <w:r w:rsidRPr="00A50647">
              <w:rPr>
                <w:rFonts w:cs="Arial"/>
                <w:color w:val="212121"/>
                <w:sz w:val="24"/>
                <w:szCs w:val="24"/>
                <w:lang w:val="en-US"/>
              </w:rPr>
              <w:t>Peer review the individual contributions with the support of the expert</w:t>
            </w:r>
            <w:r w:rsidRPr="009B2636">
              <w:rPr>
                <w:rFonts w:cs="Arial"/>
                <w:color w:val="212121"/>
                <w:sz w:val="24"/>
                <w:szCs w:val="24"/>
                <w:lang w:val="en-US"/>
              </w:rPr>
              <w:t xml:space="preserve"> group;</w:t>
            </w:r>
          </w:p>
          <w:p w14:paraId="1AAF84C0" w14:textId="77777777" w:rsidR="00157773" w:rsidRPr="009B2636" w:rsidRDefault="00157773" w:rsidP="00157773">
            <w:pPr>
              <w:numPr>
                <w:ilvl w:val="1"/>
                <w:numId w:val="1"/>
              </w:numPr>
              <w:rPr>
                <w:rFonts w:cs="Arial"/>
                <w:color w:val="212121"/>
                <w:sz w:val="24"/>
                <w:szCs w:val="24"/>
                <w:lang w:val="en-US"/>
              </w:rPr>
            </w:pPr>
            <w:r w:rsidRPr="009B2636">
              <w:rPr>
                <w:rFonts w:cs="Arial"/>
                <w:color w:val="212121"/>
                <w:sz w:val="24"/>
                <w:szCs w:val="24"/>
                <w:lang w:val="en-US"/>
              </w:rPr>
              <w:t>Discuss the future format and dissemination of the compendium (e.g. online-version);</w:t>
            </w:r>
          </w:p>
          <w:p w14:paraId="38DAC819" w14:textId="77777777" w:rsidR="00157773" w:rsidRPr="00A50647" w:rsidRDefault="00965362" w:rsidP="00157773">
            <w:pPr>
              <w:pStyle w:val="Default"/>
              <w:numPr>
                <w:ilvl w:val="0"/>
                <w:numId w:val="1"/>
              </w:numPr>
              <w:jc w:val="both"/>
              <w:rPr>
                <w:rFonts w:asciiTheme="minorHAnsi" w:hAnsiTheme="minorHAnsi" w:cs="Calibri"/>
                <w:lang w:val="en-US"/>
              </w:rPr>
            </w:pPr>
            <w:r>
              <w:rPr>
                <w:rFonts w:asciiTheme="minorHAnsi" w:hAnsiTheme="minorHAnsi" w:cs="Arial"/>
                <w:color w:val="212121"/>
                <w:lang w:val="en-US"/>
              </w:rPr>
              <w:t>Facilitate</w:t>
            </w:r>
            <w:r w:rsidR="002A22E8">
              <w:rPr>
                <w:rFonts w:asciiTheme="minorHAnsi" w:hAnsiTheme="minorHAnsi" w:cs="Arial"/>
                <w:color w:val="212121"/>
                <w:lang w:val="en-US"/>
              </w:rPr>
              <w:t xml:space="preserve"> </w:t>
            </w:r>
            <w:r w:rsidR="00157773" w:rsidRPr="009B2636">
              <w:rPr>
                <w:rFonts w:asciiTheme="minorHAnsi" w:hAnsiTheme="minorHAnsi" w:cs="Arial"/>
                <w:color w:val="212121"/>
                <w:lang w:val="en-US"/>
              </w:rPr>
              <w:t xml:space="preserve">grade conversion between </w:t>
            </w:r>
            <w:r w:rsidR="0073156C" w:rsidRPr="004A3247">
              <w:rPr>
                <w:rFonts w:asciiTheme="minorHAnsi" w:hAnsiTheme="minorHAnsi" w:cs="Arial"/>
                <w:color w:val="212121"/>
                <w:lang w:val="en-US"/>
              </w:rPr>
              <w:t>Asian</w:t>
            </w:r>
            <w:r w:rsidR="0073156C" w:rsidRPr="009B2636">
              <w:rPr>
                <w:rFonts w:asciiTheme="minorHAnsi" w:hAnsiTheme="minorHAnsi" w:cs="Arial"/>
                <w:color w:val="212121"/>
                <w:lang w:val="en-US"/>
              </w:rPr>
              <w:t xml:space="preserve"> </w:t>
            </w:r>
            <w:r w:rsidR="004A3247" w:rsidRPr="004A3247">
              <w:rPr>
                <w:rFonts w:asciiTheme="minorHAnsi" w:hAnsiTheme="minorHAnsi" w:cs="Arial"/>
                <w:color w:val="212121"/>
                <w:lang w:val="en-US"/>
              </w:rPr>
              <w:t xml:space="preserve">and </w:t>
            </w:r>
            <w:r w:rsidR="0073156C" w:rsidRPr="004A3247">
              <w:rPr>
                <w:rFonts w:asciiTheme="minorHAnsi" w:hAnsiTheme="minorHAnsi" w:cs="Arial"/>
                <w:color w:val="212121"/>
                <w:lang w:val="en-US"/>
              </w:rPr>
              <w:t xml:space="preserve">European </w:t>
            </w:r>
            <w:r w:rsidR="00157773" w:rsidRPr="009B2636">
              <w:rPr>
                <w:rFonts w:asciiTheme="minorHAnsi" w:hAnsiTheme="minorHAnsi" w:cs="Arial"/>
                <w:color w:val="212121"/>
                <w:lang w:val="en-US"/>
              </w:rPr>
              <w:t>countries.</w:t>
            </w:r>
          </w:p>
          <w:p w14:paraId="5A846AFA" w14:textId="71BB488A" w:rsidR="00A50647" w:rsidRPr="00157773" w:rsidRDefault="00A50647" w:rsidP="00A50647">
            <w:pPr>
              <w:pStyle w:val="Default"/>
              <w:ind w:left="720"/>
              <w:jc w:val="both"/>
              <w:rPr>
                <w:rFonts w:asciiTheme="minorHAnsi" w:hAnsiTheme="minorHAnsi" w:cs="Calibri"/>
                <w:lang w:val="en-US"/>
              </w:rPr>
            </w:pPr>
          </w:p>
        </w:tc>
      </w:tr>
    </w:tbl>
    <w:p w14:paraId="3BCA93FB" w14:textId="77777777" w:rsidR="00BE0793" w:rsidRPr="00345E5E" w:rsidRDefault="00BE0793">
      <w:pPr>
        <w:rPr>
          <w:sz w:val="24"/>
          <w:szCs w:val="24"/>
          <w:lang w:val="en-US"/>
        </w:rPr>
      </w:pPr>
    </w:p>
    <w:sectPr w:rsidR="00BE0793" w:rsidRPr="00345E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CAF"/>
    <w:multiLevelType w:val="multilevel"/>
    <w:tmpl w:val="22380886"/>
    <w:lvl w:ilvl="0">
      <w:start w:val="21"/>
      <w:numFmt w:val="bullet"/>
      <w:lvlText w:val="-"/>
      <w:lvlJc w:val="left"/>
      <w:pPr>
        <w:tabs>
          <w:tab w:val="num" w:pos="720"/>
        </w:tabs>
        <w:ind w:left="720" w:hanging="360"/>
      </w:pPr>
      <w:rPr>
        <w:rFonts w:ascii="Calibri" w:eastAsiaTheme="minorHAnsi" w:hAnsi="Calibri" w:cstheme="minorBid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6F3ABB"/>
    <w:multiLevelType w:val="multilevel"/>
    <w:tmpl w:val="AF889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3C17A6"/>
    <w:multiLevelType w:val="hybridMultilevel"/>
    <w:tmpl w:val="555E8F00"/>
    <w:lvl w:ilvl="0" w:tplc="8D1E19AC">
      <w:start w:val="2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5E"/>
    <w:rsid w:val="0000177F"/>
    <w:rsid w:val="00013A88"/>
    <w:rsid w:val="00057438"/>
    <w:rsid w:val="00090621"/>
    <w:rsid w:val="001271A2"/>
    <w:rsid w:val="00142780"/>
    <w:rsid w:val="00157773"/>
    <w:rsid w:val="002016B6"/>
    <w:rsid w:val="002A22E8"/>
    <w:rsid w:val="00320ED2"/>
    <w:rsid w:val="00345E5E"/>
    <w:rsid w:val="0037191A"/>
    <w:rsid w:val="003D1444"/>
    <w:rsid w:val="004A3247"/>
    <w:rsid w:val="005415E9"/>
    <w:rsid w:val="005659CE"/>
    <w:rsid w:val="0073156C"/>
    <w:rsid w:val="00784AD0"/>
    <w:rsid w:val="008873AE"/>
    <w:rsid w:val="0091796A"/>
    <w:rsid w:val="009279CC"/>
    <w:rsid w:val="0095351C"/>
    <w:rsid w:val="00965362"/>
    <w:rsid w:val="009B2636"/>
    <w:rsid w:val="009C5404"/>
    <w:rsid w:val="009E04C8"/>
    <w:rsid w:val="00A46474"/>
    <w:rsid w:val="00A50647"/>
    <w:rsid w:val="00AC36A7"/>
    <w:rsid w:val="00AC4CDB"/>
    <w:rsid w:val="00AF11F6"/>
    <w:rsid w:val="00BA5211"/>
    <w:rsid w:val="00BE0793"/>
    <w:rsid w:val="00BF1A64"/>
    <w:rsid w:val="00C21DA1"/>
    <w:rsid w:val="00C928EB"/>
    <w:rsid w:val="00CC4D1B"/>
    <w:rsid w:val="00CF3704"/>
    <w:rsid w:val="00D33D22"/>
    <w:rsid w:val="00D47064"/>
    <w:rsid w:val="00DB08AB"/>
    <w:rsid w:val="00DE6EBD"/>
    <w:rsid w:val="00E65764"/>
    <w:rsid w:val="00EC569C"/>
    <w:rsid w:val="00ED1C00"/>
    <w:rsid w:val="00F416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63C1"/>
  <w15:chartTrackingRefBased/>
  <w15:docId w15:val="{E0FD0522-148C-4A3D-8E66-117AD864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45E5E"/>
    <w:pPr>
      <w:autoSpaceDE w:val="0"/>
      <w:autoSpaceDN w:val="0"/>
      <w:adjustRightInd w:val="0"/>
      <w:spacing w:after="0" w:line="240" w:lineRule="auto"/>
    </w:pPr>
    <w:rPr>
      <w:rFonts w:ascii="Times New Roman" w:hAnsi="Times New Roman" w:cs="Times New Roman"/>
      <w:color w:val="000000"/>
      <w:sz w:val="24"/>
      <w:szCs w:val="24"/>
    </w:rPr>
  </w:style>
  <w:style w:type="table" w:styleId="Tabelraster">
    <w:name w:val="Table Grid"/>
    <w:basedOn w:val="Standaardtabel"/>
    <w:uiPriority w:val="39"/>
    <w:rsid w:val="003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45E5E"/>
    <w:rPr>
      <w:color w:val="0563C1" w:themeColor="hyperlink"/>
      <w:u w:val="single"/>
    </w:rPr>
  </w:style>
  <w:style w:type="character" w:styleId="Onopgelostemelding">
    <w:name w:val="Unresolved Mention"/>
    <w:basedOn w:val="Standaardalinea-lettertype"/>
    <w:uiPriority w:val="99"/>
    <w:semiHidden/>
    <w:unhideWhenUsed/>
    <w:rsid w:val="00345E5E"/>
    <w:rPr>
      <w:color w:val="808080"/>
      <w:shd w:val="clear" w:color="auto" w:fill="E6E6E6"/>
    </w:rPr>
  </w:style>
  <w:style w:type="paragraph" w:styleId="Lijstalinea">
    <w:name w:val="List Paragraph"/>
    <w:basedOn w:val="Standaard"/>
    <w:uiPriority w:val="34"/>
    <w:qFormat/>
    <w:rsid w:val="00001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21071">
      <w:bodyDiv w:val="1"/>
      <w:marLeft w:val="0"/>
      <w:marRight w:val="0"/>
      <w:marTop w:val="0"/>
      <w:marBottom w:val="0"/>
      <w:divBdr>
        <w:top w:val="none" w:sz="0" w:space="0" w:color="auto"/>
        <w:left w:val="none" w:sz="0" w:space="0" w:color="auto"/>
        <w:bottom w:val="none" w:sz="0" w:space="0" w:color="auto"/>
        <w:right w:val="none" w:sz="0" w:space="0" w:color="auto"/>
      </w:divBdr>
      <w:divsChild>
        <w:div w:id="1583753817">
          <w:marLeft w:val="0"/>
          <w:marRight w:val="0"/>
          <w:marTop w:val="100"/>
          <w:marBottom w:val="100"/>
          <w:divBdr>
            <w:top w:val="none" w:sz="0" w:space="0" w:color="auto"/>
            <w:left w:val="none" w:sz="0" w:space="0" w:color="auto"/>
            <w:bottom w:val="none" w:sz="0" w:space="0" w:color="auto"/>
            <w:right w:val="none" w:sz="0" w:space="0" w:color="auto"/>
          </w:divBdr>
          <w:divsChild>
            <w:div w:id="1762290177">
              <w:marLeft w:val="0"/>
              <w:marRight w:val="0"/>
              <w:marTop w:val="0"/>
              <w:marBottom w:val="0"/>
              <w:divBdr>
                <w:top w:val="none" w:sz="0" w:space="0" w:color="auto"/>
                <w:left w:val="none" w:sz="0" w:space="0" w:color="auto"/>
                <w:bottom w:val="none" w:sz="0" w:space="0" w:color="auto"/>
                <w:right w:val="none" w:sz="0" w:space="0" w:color="auto"/>
              </w:divBdr>
              <w:divsChild>
                <w:div w:id="1471362194">
                  <w:marLeft w:val="0"/>
                  <w:marRight w:val="0"/>
                  <w:marTop w:val="0"/>
                  <w:marBottom w:val="0"/>
                  <w:divBdr>
                    <w:top w:val="none" w:sz="0" w:space="0" w:color="auto"/>
                    <w:left w:val="none" w:sz="0" w:space="0" w:color="auto"/>
                    <w:bottom w:val="none" w:sz="0" w:space="0" w:color="auto"/>
                    <w:right w:val="none" w:sz="0" w:space="0" w:color="auto"/>
                  </w:divBdr>
                  <w:divsChild>
                    <w:div w:id="1350326614">
                      <w:marLeft w:val="0"/>
                      <w:marRight w:val="0"/>
                      <w:marTop w:val="0"/>
                      <w:marBottom w:val="0"/>
                      <w:divBdr>
                        <w:top w:val="none" w:sz="0" w:space="0" w:color="auto"/>
                        <w:left w:val="none" w:sz="0" w:space="0" w:color="auto"/>
                        <w:bottom w:val="none" w:sz="0" w:space="0" w:color="auto"/>
                        <w:right w:val="none" w:sz="0" w:space="0" w:color="auto"/>
                      </w:divBdr>
                      <w:divsChild>
                        <w:div w:id="1817717808">
                          <w:marLeft w:val="0"/>
                          <w:marRight w:val="0"/>
                          <w:marTop w:val="0"/>
                          <w:marBottom w:val="0"/>
                          <w:divBdr>
                            <w:top w:val="none" w:sz="0" w:space="0" w:color="auto"/>
                            <w:left w:val="none" w:sz="0" w:space="0" w:color="auto"/>
                            <w:bottom w:val="none" w:sz="0" w:space="0" w:color="auto"/>
                            <w:right w:val="none" w:sz="0" w:space="0" w:color="auto"/>
                          </w:divBdr>
                          <w:divsChild>
                            <w:div w:id="4704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4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cdgdc.edu.cn" TargetMode="External"/><Relationship Id="rId13" Type="http://schemas.openxmlformats.org/officeDocument/2006/relationships/hyperlink" Target="mailto:weissenbach@daad.de" TargetMode="External"/><Relationship Id="rId3" Type="http://schemas.openxmlformats.org/officeDocument/2006/relationships/settings" Target="settings.xml"/><Relationship Id="rId7" Type="http://schemas.openxmlformats.org/officeDocument/2006/relationships/hyperlink" Target="mailto:chantavit@rihed.seameo.org" TargetMode="External"/><Relationship Id="rId12" Type="http://schemas.openxmlformats.org/officeDocument/2006/relationships/hyperlink" Target="mailto:Alamnasrahi@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galie.Soenen@ond.vlaanderen.be" TargetMode="External"/><Relationship Id="rId11" Type="http://schemas.openxmlformats.org/officeDocument/2006/relationships/hyperlink" Target="mailto:Kristina.Sutkute@skvc.lt" TargetMode="External"/><Relationship Id="rId5" Type="http://schemas.openxmlformats.org/officeDocument/2006/relationships/hyperlink" Target="mailto:Magalie.Soenen@ond.vlaanderen.be" TargetMode="External"/><Relationship Id="rId15" Type="http://schemas.openxmlformats.org/officeDocument/2006/relationships/hyperlink" Target="mailto:david.urban@ond.vlaanderen.be" TargetMode="External"/><Relationship Id="rId10" Type="http://schemas.openxmlformats.org/officeDocument/2006/relationships/hyperlink" Target="mailto:baiba@aic.lv" TargetMode="External"/><Relationship Id="rId4" Type="http://schemas.openxmlformats.org/officeDocument/2006/relationships/webSettings" Target="webSettings.xml"/><Relationship Id="rId9" Type="http://schemas.openxmlformats.org/officeDocument/2006/relationships/hyperlink" Target="mailto:nongnuch.ohec@gmail.com" TargetMode="External"/><Relationship Id="rId14" Type="http://schemas.openxmlformats.org/officeDocument/2006/relationships/hyperlink" Target="mailto:philippe.lalle@enseignementsup.gouv.f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1100</Words>
  <Characters>6050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Soenen Magalie</dc:creator>
  <cp:keywords/>
  <dc:description/>
  <cp:lastModifiedBy>Soenen Magalie</cp:lastModifiedBy>
  <cp:revision>8</cp:revision>
  <dcterms:created xsi:type="dcterms:W3CDTF">2018-07-04T13:52:00Z</dcterms:created>
  <dcterms:modified xsi:type="dcterms:W3CDTF">2018-11-20T09:19:00Z</dcterms:modified>
</cp:coreProperties>
</file>